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560" w:firstLineChars="200"/>
        <w:jc w:val="center"/>
        <w:textAlignment w:val="auto"/>
        <w:outlineLvl w:val="9"/>
        <w:rPr>
          <w:rFonts w:ascii="微软雅黑" w:hAnsi="微软雅黑" w:eastAsia="微软雅黑" w:cs="微软雅黑"/>
          <w:b/>
          <w:bCs/>
          <w:i w:val="0"/>
          <w:iCs w:val="0"/>
          <w:caps w:val="0"/>
          <w:color w:val="00529C"/>
          <w:spacing w:val="0"/>
          <w:sz w:val="28"/>
          <w:szCs w:val="28"/>
        </w:rPr>
      </w:pPr>
      <w:r>
        <w:rPr>
          <w:rFonts w:hint="eastAsia" w:ascii="微软雅黑" w:hAnsi="微软雅黑" w:eastAsia="微软雅黑" w:cs="微软雅黑"/>
          <w:b/>
          <w:bCs/>
          <w:i w:val="0"/>
          <w:iCs w:val="0"/>
          <w:caps w:val="0"/>
          <w:color w:val="00529C"/>
          <w:spacing w:val="0"/>
          <w:sz w:val="28"/>
          <w:szCs w:val="28"/>
          <w:shd w:val="clear" w:fill="FFFFFF"/>
        </w:rPr>
        <w:t>化学药品注册分类改革工作方案的公告（2016年第51号）.doc</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560" w:firstLineChars="200"/>
        <w:jc w:val="center"/>
        <w:textAlignment w:val="auto"/>
        <w:outlineLvl w:val="9"/>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i w:val="0"/>
          <w:iCs w:val="0"/>
          <w:caps w:val="0"/>
          <w:color w:val="444444"/>
          <w:spacing w:val="0"/>
          <w:sz w:val="28"/>
          <w:szCs w:val="28"/>
          <w:shd w:val="clear" w:fill="FFFFFF"/>
        </w:rPr>
        <w:t>发布日期：2016年07月04日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562" w:firstLineChars="200"/>
        <w:jc w:val="center"/>
        <w:textAlignment w:val="auto"/>
        <w:outlineLvl w:val="9"/>
        <w:rPr>
          <w:rFonts w:ascii="宋体" w:hAnsi="宋体" w:eastAsia="宋体" w:cs="宋体"/>
          <w:b/>
          <w:bCs/>
          <w:color w:val="093A96"/>
          <w:kern w:val="0"/>
          <w:sz w:val="28"/>
          <w:szCs w:val="28"/>
          <w:lang w:val="en-US" w:eastAsia="zh-CN" w:bidi="ar"/>
        </w:rPr>
      </w:pPr>
      <w:r>
        <w:rPr>
          <w:rFonts w:ascii="宋体" w:hAnsi="宋体" w:eastAsia="宋体" w:cs="宋体"/>
          <w:b/>
          <w:bCs/>
          <w:color w:val="093A96"/>
          <w:kern w:val="0"/>
          <w:sz w:val="28"/>
          <w:szCs w:val="28"/>
          <w:lang w:val="en-US" w:eastAsia="zh-CN" w:bidi="ar"/>
        </w:rPr>
        <w:t>总</w:t>
      </w:r>
      <w:r>
        <w:rPr>
          <w:rFonts w:hint="eastAsia" w:ascii="微软雅黑" w:hAnsi="微软雅黑" w:eastAsia="微软雅黑" w:cs="微软雅黑"/>
          <w:i w:val="0"/>
          <w:iCs w:val="0"/>
          <w:caps w:val="0"/>
          <w:color w:val="444444"/>
          <w:spacing w:val="0"/>
          <w:sz w:val="28"/>
          <w:szCs w:val="28"/>
          <w:shd w:val="clear" w:fill="FFFFFF"/>
        </w:rPr>
        <w:t> </w:t>
      </w:r>
      <w:r>
        <w:rPr>
          <w:rFonts w:ascii="宋体" w:hAnsi="宋体" w:eastAsia="宋体" w:cs="宋体"/>
          <w:b/>
          <w:bCs/>
          <w:color w:val="093A96"/>
          <w:kern w:val="0"/>
          <w:sz w:val="28"/>
          <w:szCs w:val="28"/>
          <w:lang w:val="en-US" w:eastAsia="zh-CN" w:bidi="ar"/>
        </w:rPr>
        <w:t>局关于发布化学药品注册分类改革工作方案的公告（2016年第51号）</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jc w:val="center"/>
        <w:textAlignment w:val="auto"/>
        <w:outlineLvl w:val="9"/>
        <w:rPr>
          <w:sz w:val="28"/>
          <w:szCs w:val="28"/>
          <w:lang w:val="en-US" w:eastAsia="zh-CN"/>
        </w:rPr>
      </w:pPr>
      <w:r>
        <w:rPr>
          <w:sz w:val="28"/>
          <w:szCs w:val="28"/>
          <w:lang w:val="en-US" w:eastAsia="zh-CN"/>
        </w:rPr>
        <w:t>2016年03月04日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560" w:firstLineChars="200"/>
        <w:jc w:val="center"/>
        <w:textAlignment w:val="auto"/>
        <w:outlineLvl w:val="9"/>
        <w:rPr>
          <w:sz w:val="28"/>
          <w:szCs w:val="28"/>
        </w:rPr>
      </w:pPr>
      <w:r>
        <w:rPr>
          <w:rFonts w:ascii="宋体" w:hAnsi="宋体" w:eastAsia="宋体" w:cs="宋体"/>
          <w:color w:val="000000"/>
          <w:kern w:val="0"/>
          <w:sz w:val="28"/>
          <w:szCs w:val="28"/>
          <w:lang w:val="en-US" w:eastAsia="zh-CN" w:bidi="ar"/>
        </w:rPr>
        <w:t>根据2015年11月4日第十二届全国人民代表大会常务委员会第十七次会议审议通过的《关于授权国务院在部分地方开展药品上市许可持有人制度试点和有关问题的决定》，国家食品药品监督管理总局制定了化学药品注册分类工作改革方案，已经国务院同意，现予以公告，并自公告发布之日起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560" w:firstLineChars="200"/>
        <w:jc w:val="center"/>
        <w:textAlignment w:val="auto"/>
        <w:outlineLvl w:val="9"/>
        <w:rPr>
          <w:sz w:val="28"/>
          <w:szCs w:val="28"/>
        </w:rPr>
      </w:pPr>
      <w:r>
        <w:rPr>
          <w:rFonts w:ascii="宋体" w:hAnsi="宋体" w:eastAsia="宋体" w:cs="宋体"/>
          <w:color w:val="000000"/>
          <w:kern w:val="0"/>
          <w:sz w:val="28"/>
          <w:szCs w:val="28"/>
          <w:lang w:val="en-US" w:eastAsia="zh-CN" w:bidi="ar"/>
        </w:rPr>
        <w:t>附件：化学药品注册分类改革工作方案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560" w:firstLineChars="200"/>
        <w:jc w:val="center"/>
        <w:textAlignment w:val="auto"/>
        <w:outlineLvl w:val="9"/>
        <w:rPr>
          <w:rFonts w:hint="eastAsia" w:ascii="宋体" w:hAnsi="宋体" w:eastAsia="宋体" w:cs="宋体"/>
          <w:b/>
          <w:bCs/>
          <w:color w:val="093A96"/>
          <w:kern w:val="0"/>
          <w:sz w:val="28"/>
          <w:szCs w:val="28"/>
          <w:lang w:val="en-US" w:eastAsia="zh-CN" w:bidi="ar"/>
        </w:rPr>
      </w:pPr>
      <w:r>
        <w:rPr>
          <w:rFonts w:ascii="宋体" w:hAnsi="宋体" w:eastAsia="宋体" w:cs="宋体"/>
          <w:color w:val="000000"/>
          <w:kern w:val="0"/>
          <w:sz w:val="28"/>
          <w:szCs w:val="28"/>
          <w:lang w:val="en-US" w:eastAsia="zh-CN" w:bidi="ar"/>
        </w:rPr>
        <w:br w:type="textWrapping"/>
      </w:r>
      <w:r>
        <w:rPr>
          <w:rFonts w:ascii="宋体" w:hAnsi="宋体" w:eastAsia="宋体" w:cs="宋体"/>
          <w:color w:val="000000"/>
          <w:kern w:val="0"/>
          <w:sz w:val="28"/>
          <w:szCs w:val="28"/>
          <w:lang w:val="en-US" w:eastAsia="zh-CN" w:bidi="ar"/>
        </w:rPr>
        <w:t>食品药品监管总局</w:t>
      </w:r>
      <w:r>
        <w:rPr>
          <w:rFonts w:ascii="宋体" w:hAnsi="宋体" w:eastAsia="宋体" w:cs="宋体"/>
          <w:color w:val="000000"/>
          <w:kern w:val="0"/>
          <w:sz w:val="28"/>
          <w:szCs w:val="28"/>
          <w:lang w:val="en-US" w:eastAsia="zh-CN" w:bidi="ar"/>
        </w:rPr>
        <w:br w:type="textWrapping"/>
      </w:r>
      <w:r>
        <w:rPr>
          <w:rFonts w:ascii="宋体" w:hAnsi="宋体" w:eastAsia="宋体" w:cs="宋体"/>
          <w:color w:val="000000"/>
          <w:kern w:val="0"/>
          <w:sz w:val="28"/>
          <w:szCs w:val="28"/>
          <w:lang w:val="en-US" w:eastAsia="zh-CN" w:bidi="ar"/>
        </w:rPr>
        <w:t>2016年3月4日</w:t>
      </w:r>
    </w:p>
    <w:tbl>
      <w:tblPr>
        <w:tblStyle w:val="4"/>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tcMar>
              <w:top w:w="30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20" w:firstLineChars="200"/>
              <w:jc w:val="both"/>
              <w:textAlignment w:val="auto"/>
              <w:outlineLvl w:val="9"/>
              <w:rPr>
                <w:rFonts w:hint="eastAsia" w:ascii="微软雅黑" w:hAnsi="微软雅黑" w:eastAsia="微软雅黑" w:cs="微软雅黑"/>
                <w:sz w:val="14"/>
                <w:szCs w:val="14"/>
              </w:rPr>
            </w:pPr>
            <w:r>
              <w:rPr>
                <w:rFonts w:hint="eastAsia" w:ascii="微软雅黑" w:hAnsi="微软雅黑" w:eastAsia="微软雅黑" w:cs="微软雅黑"/>
                <w:color w:val="000000"/>
                <w:kern w:val="0"/>
                <w:sz w:val="21"/>
                <w:szCs w:val="21"/>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360" w:firstLineChars="200"/>
              <w:jc w:val="both"/>
              <w:textAlignment w:val="auto"/>
              <w:outlineLvl w:val="9"/>
              <w:rPr>
                <w:rFonts w:hint="eastAsia" w:ascii="微软雅黑" w:hAnsi="微软雅黑" w:eastAsia="微软雅黑" w:cs="微软雅黑"/>
                <w:sz w:val="14"/>
                <w:szCs w:val="14"/>
              </w:rPr>
            </w:pPr>
            <w:r>
              <w:rPr>
                <w:rFonts w:hint="eastAsia" w:ascii="微软雅黑" w:hAnsi="微软雅黑" w:eastAsia="微软雅黑" w:cs="微软雅黑"/>
                <w:color w:val="000000"/>
                <w:kern w:val="0"/>
                <w:sz w:val="18"/>
                <w:szCs w:val="18"/>
                <w:lang w:val="en-US" w:eastAsia="zh-CN" w:bidi="ar"/>
              </w:rPr>
              <w:br w:type="textWrapping"/>
            </w:r>
            <w:r>
              <w:rPr>
                <w:rFonts w:hint="eastAsia" w:ascii="微软雅黑" w:hAnsi="微软雅黑" w:eastAsia="微软雅黑" w:cs="微软雅黑"/>
                <w:color w:val="000000"/>
                <w:kern w:val="0"/>
                <w:sz w:val="28"/>
                <w:szCs w:val="28"/>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微软雅黑" w:hAnsi="微软雅黑" w:eastAsia="微软雅黑" w:cs="微软雅黑"/>
                <w:sz w:val="14"/>
                <w:szCs w:val="14"/>
              </w:rPr>
            </w:pPr>
            <w:r>
              <w:rPr>
                <w:rFonts w:hint="eastAsia" w:ascii="微软雅黑" w:hAnsi="微软雅黑" w:eastAsia="微软雅黑" w:cs="微软雅黑"/>
                <w:b/>
                <w:bCs/>
                <w:color w:val="000000"/>
                <w:kern w:val="0"/>
                <w:sz w:val="30"/>
                <w:szCs w:val="30"/>
                <w:lang w:val="en-US" w:eastAsia="zh-CN" w:bidi="ar"/>
              </w:rPr>
              <w:t>化学药品注册分类改革工作方案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为鼓励新药创制，严格审评审批，提高药品质量，促进产业升级，对当前化学药品注册分类进行改革，特制定本工作方案。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　　一、调整化学药品注册分类类别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对化学药品注册分类类别进行调整，化学药品新注册分类共分为5个类别，具体如下：</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1类：境内外均未上市的创新药。指含有新的结构明确的、具有药理作用的化合物，且具有临床价值的药品。</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2类：境内外均未上市的改良型新药。指在已知活性成份的基础上，对其结构、剂型、处方工艺、给药途径、适应症等进行优化，且具有明显临床优势的药品。</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3类：境内申请人仿制境外上市但境内未上市原研药品的药品。该类药品应与原研药品的质量和疗效一致。</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原研药品指境内外首个获准上市，且具有完整和充分的安全性、有效性数据作为上市依据的药品。</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4类：境内申请人仿制已在境内上市原研药品的药品。该类药品应与原研药品的质量和疗效一致。</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5类：境外上市的药品申请在境内上市。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表1 化学药品新注册分类、说明及包含的情形</w:t>
            </w:r>
          </w:p>
          <w:tbl>
            <w:tblPr>
              <w:tblStyle w:val="4"/>
              <w:tblW w:w="81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4"/>
              <w:gridCol w:w="1570"/>
              <w:gridCol w:w="57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4" w:hRule="atLeast"/>
                <w:jc w:val="center"/>
              </w:trPr>
              <w:tc>
                <w:tcPr>
                  <w:tcW w:w="814" w:type="dxa"/>
                  <w:tcBorders>
                    <w:top w:val="single" w:color="000000" w:sz="8" w:space="0"/>
                    <w:left w:val="single" w:color="000000" w:sz="8" w:space="0"/>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注册</w:t>
                  </w:r>
                  <w:r>
                    <w:rPr>
                      <w:rFonts w:hint="eastAsia" w:ascii="微软雅黑" w:hAnsi="微软雅黑" w:eastAsia="微软雅黑" w:cs="微软雅黑"/>
                      <w:b/>
                      <w:bCs/>
                      <w:color w:val="000000"/>
                      <w:kern w:val="0"/>
                      <w:sz w:val="24"/>
                      <w:szCs w:val="24"/>
                      <w:lang w:val="en-US" w:eastAsia="zh-CN" w:bidi="ar"/>
                    </w:rPr>
                    <w:br w:type="textWrapping"/>
                  </w:r>
                  <w:r>
                    <w:rPr>
                      <w:rFonts w:hint="eastAsia" w:ascii="微软雅黑" w:hAnsi="微软雅黑" w:eastAsia="微软雅黑" w:cs="微软雅黑"/>
                      <w:b/>
                      <w:bCs/>
                      <w:color w:val="000000"/>
                      <w:kern w:val="0"/>
                      <w:sz w:val="24"/>
                      <w:szCs w:val="24"/>
                      <w:lang w:val="en-US" w:eastAsia="zh-CN" w:bidi="ar"/>
                    </w:rPr>
                    <w:t>分类</w:t>
                  </w:r>
                </w:p>
              </w:tc>
              <w:tc>
                <w:tcPr>
                  <w:tcW w:w="1570" w:type="dxa"/>
                  <w:tcBorders>
                    <w:top w:val="single" w:color="000000" w:sz="8" w:space="0"/>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分类</w:t>
                  </w:r>
                  <w:bookmarkStart w:id="0" w:name="_GoBack"/>
                  <w:bookmarkEnd w:id="0"/>
                  <w:r>
                    <w:rPr>
                      <w:rFonts w:hint="eastAsia" w:ascii="微软雅黑" w:hAnsi="微软雅黑" w:eastAsia="微软雅黑" w:cs="微软雅黑"/>
                      <w:b/>
                      <w:bCs/>
                      <w:color w:val="000000"/>
                      <w:kern w:val="0"/>
                      <w:sz w:val="24"/>
                      <w:szCs w:val="24"/>
                      <w:lang w:val="en-US" w:eastAsia="zh-CN" w:bidi="ar"/>
                    </w:rPr>
                    <w:t>说明</w:t>
                  </w:r>
                </w:p>
              </w:tc>
              <w:tc>
                <w:tcPr>
                  <w:tcW w:w="5755" w:type="dxa"/>
                  <w:tcBorders>
                    <w:top w:val="single" w:color="000000" w:sz="8" w:space="0"/>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包含的情形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9" w:hRule="atLeast"/>
                <w:jc w:val="center"/>
              </w:trPr>
              <w:tc>
                <w:tcPr>
                  <w:tcW w:w="814"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1</w:t>
                  </w:r>
                </w:p>
              </w:tc>
              <w:tc>
                <w:tcPr>
                  <w:tcW w:w="157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境内外均未上市的创新药</w:t>
                  </w: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含有新的结构明确的、具有药理作用的化合物，且具有临床价值的原料药及其制剂。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9" w:hRule="atLeast"/>
                <w:jc w:val="center"/>
              </w:trPr>
              <w:tc>
                <w:tcPr>
                  <w:tcW w:w="814"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w:t>
                  </w:r>
                </w:p>
              </w:tc>
              <w:tc>
                <w:tcPr>
                  <w:tcW w:w="157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境内外均未上市的改良型新药</w:t>
                  </w: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2.1含有用拆分或者合成等方法制得的已知活性成份的光学异构体，或者对已知活性成份成酯，或者对已知活性成份成盐（包括含有氢键或配位键的盐），或者改变已知盐类活性成份的酸根、碱基或金属元素，或者形成其他非共价键衍生物（如络合物、螯合物或包合物），且具有明显临床优势的原料药及其制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9" w:hRule="atLeast"/>
                <w:jc w:val="center"/>
              </w:trPr>
              <w:tc>
                <w:tcPr>
                  <w:tcW w:w="814"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157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2.2含有已知活性成份的新剂型（包括新的给药系统）、新处方工艺、新给药途径，且具有明显临床优势的制剂。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2" w:hRule="atLeast"/>
                <w:jc w:val="center"/>
              </w:trPr>
              <w:tc>
                <w:tcPr>
                  <w:tcW w:w="814"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157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2.3含有已知活性成份的新复方制剂，且具有明显临床优势。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0" w:hRule="atLeast"/>
                <w:jc w:val="center"/>
              </w:trPr>
              <w:tc>
                <w:tcPr>
                  <w:tcW w:w="814"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157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2.4含有已知活性成份的新适应症的制剂。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63" w:hRule="atLeast"/>
                <w:jc w:val="center"/>
              </w:trPr>
              <w:tc>
                <w:tcPr>
                  <w:tcW w:w="814"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3</w:t>
                  </w:r>
                </w:p>
              </w:tc>
              <w:tc>
                <w:tcPr>
                  <w:tcW w:w="157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仿制境外上市但境内未上市原研药品的药品</w:t>
                  </w: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具有与原研药品相同的活性成份、剂型、规格、适应症、给药途径和用法用量的原料药及其制剂。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54" w:hRule="atLeast"/>
                <w:jc w:val="center"/>
              </w:trPr>
              <w:tc>
                <w:tcPr>
                  <w:tcW w:w="814"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4</w:t>
                  </w:r>
                </w:p>
              </w:tc>
              <w:tc>
                <w:tcPr>
                  <w:tcW w:w="157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仿制境内已上市原研药品的药品</w:t>
                  </w: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具有与原研药品相同的活性成份、剂型、规格、适应症、给药途径和用法用量的原料药及其制剂。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9" w:hRule="atLeast"/>
                <w:jc w:val="center"/>
              </w:trPr>
              <w:tc>
                <w:tcPr>
                  <w:tcW w:w="814"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5</w:t>
                  </w:r>
                </w:p>
              </w:tc>
              <w:tc>
                <w:tcPr>
                  <w:tcW w:w="157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境外上市的药品申请在境内上市</w:t>
                  </w: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5.1境外上市的原研药品（包括原料药及其制剂）申请在境内上市。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0" w:hRule="atLeast"/>
                <w:jc w:val="center"/>
              </w:trPr>
              <w:tc>
                <w:tcPr>
                  <w:tcW w:w="814"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157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p>
              </w:tc>
              <w:tc>
                <w:tcPr>
                  <w:tcW w:w="5755"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5.2境外上市的非原研药品（包括原料药及其制剂）申请在境内上市。</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注：1.“已知活性成份”指“已上市药品的活性成份”。</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2.注册分类2.3中不包括“含有未知活性成份的新复方制剂”。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bCs/>
                <w:color w:val="000000"/>
                <w:kern w:val="0"/>
                <w:sz w:val="24"/>
                <w:szCs w:val="24"/>
                <w:lang w:val="en-US" w:eastAsia="zh-CN" w:bidi="ar"/>
              </w:rPr>
              <w:t>　　二、相关注册管理要求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（一）对新药的审评审批，在物质基础原创性和新颖性基础上，强调临床价值的要求，其中改良型新药要求比改良前具有明显的临床优势。对仿制药的审评审批，强调与原研药品质量和疗效的一致。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二）新注册分类1、2类别药品，按照《药品注册管理办法》中新药的程序申报；新注册分类3、4类别药品，按照《药品注册管理办法》中仿制药的程序申报；新注册分类5类别药品，按照《药品注册管理办法》中进口药品的程序申报。</w:t>
            </w:r>
            <w:r>
              <w:rPr>
                <w:rFonts w:hint="eastAsia" w:ascii="微软雅黑" w:hAnsi="微软雅黑" w:eastAsia="微软雅黑" w:cs="微软雅黑"/>
                <w:color w:val="000000"/>
                <w:kern w:val="0"/>
                <w:sz w:val="24"/>
                <w:szCs w:val="24"/>
                <w:lang w:val="en-US" w:eastAsia="zh-CN" w:bidi="ar"/>
              </w:rPr>
              <w:br w:type="textWrapping"/>
            </w:r>
            <w:r>
              <w:rPr>
                <w:rFonts w:hint="eastAsia" w:ascii="微软雅黑" w:hAnsi="微软雅黑" w:eastAsia="微软雅黑" w:cs="微软雅黑"/>
                <w:color w:val="000000"/>
                <w:kern w:val="0"/>
                <w:sz w:val="24"/>
                <w:szCs w:val="24"/>
                <w:lang w:val="en-US" w:eastAsia="zh-CN" w:bidi="ar"/>
              </w:rPr>
              <w:t>　　新注册分类2类别的药品，同时符合多个情形要求的，须在申请表中一并予以列明。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（三）根据《中华人民共和国药品管理法实施条例》的有关要求，对新药设立3—5年监测期，具体如下：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表2 化学药品新药监测期期限表</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30"/>
              <w:gridCol w:w="2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30" w:type="dxa"/>
                  <w:tcBorders>
                    <w:top w:val="single" w:color="000000" w:sz="8" w:space="0"/>
                    <w:left w:val="single" w:color="000000" w:sz="8" w:space="0"/>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注册分类</w:t>
                  </w:r>
                </w:p>
              </w:tc>
              <w:tc>
                <w:tcPr>
                  <w:tcW w:w="2820" w:type="dxa"/>
                  <w:tcBorders>
                    <w:top w:val="single" w:color="000000" w:sz="8" w:space="0"/>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监测期期限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3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1</w:t>
                  </w:r>
                </w:p>
              </w:tc>
              <w:tc>
                <w:tcPr>
                  <w:tcW w:w="282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5年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33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2.1</w:t>
                  </w:r>
                </w:p>
              </w:tc>
              <w:tc>
                <w:tcPr>
                  <w:tcW w:w="282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3年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33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2.2</w:t>
                  </w:r>
                </w:p>
              </w:tc>
              <w:tc>
                <w:tcPr>
                  <w:tcW w:w="282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4年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33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2.3</w:t>
                  </w:r>
                </w:p>
              </w:tc>
              <w:tc>
                <w:tcPr>
                  <w:tcW w:w="282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4年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33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2.4</w:t>
                  </w:r>
                </w:p>
              </w:tc>
              <w:tc>
                <w:tcPr>
                  <w:tcW w:w="2820" w:type="dxa"/>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center"/>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3年</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四）本方案发布实施前已受理的化学药品注册申请，可以继续按照原规定进行审评审批，也可以申请按照新注册分类进行审评审批。如申请按照新注册分类进行审评审批，补交相关费用后，不再补交技术资料，国家食品药品监督管理总局药品审评中心要设立绿色通道，加快审评审批。符合要求的，批准上市；不符合要求的，不再要求补充资料，直接不予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（五）新注册分类的注册申请所核发的药品批准文号（进口药品注册证/医药产品注册证）效力与原注册分类的注册申请核发的药品批准文号（进口药品注册证/医药产品注册证）效力等同。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（六）国家食品药品监督管理总局组织相关部门细化工作要求，做好受理、核查检查、技术审评及制定、修订相关国家药品标准等工作。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outlineLvl w:val="9"/>
              <w:rPr>
                <w:rFonts w:hint="eastAsia" w:ascii="微软雅黑" w:hAnsi="微软雅黑" w:eastAsia="微软雅黑" w:cs="微软雅黑"/>
                <w:sz w:val="14"/>
                <w:szCs w:val="14"/>
              </w:rPr>
            </w:pPr>
            <w:r>
              <w:rPr>
                <w:rFonts w:hint="eastAsia" w:ascii="微软雅黑" w:hAnsi="微软雅黑" w:eastAsia="微软雅黑" w:cs="微软雅黑"/>
                <w:color w:val="000000"/>
                <w:kern w:val="0"/>
                <w:sz w:val="24"/>
                <w:szCs w:val="24"/>
                <w:lang w:val="en-US" w:eastAsia="zh-CN" w:bidi="ar"/>
              </w:rPr>
              <w:t>　　（七）《药品注册管理办法》与本方案不一致的，按照本方案要求执行。</w:t>
            </w:r>
          </w:p>
        </w:tc>
      </w:tr>
    </w:tbl>
    <w:p>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NTY2YzkzNzY5Njg5NzNlNDExZThjZjEwOGQzMTQifQ=="/>
  </w:docVars>
  <w:rsids>
    <w:rsidRoot w:val="0E6E6F80"/>
    <w:rsid w:val="0E6E6F80"/>
    <w:rsid w:val="4ED92501"/>
    <w:rsid w:val="5E355914"/>
    <w:rsid w:val="6F547DC8"/>
    <w:rsid w:val="7B00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1858</Words>
  <Characters>1910</Characters>
  <Lines>0</Lines>
  <Paragraphs>0</Paragraphs>
  <TotalTime>5</TotalTime>
  <ScaleCrop>false</ScaleCrop>
  <LinksUpToDate>false</LinksUpToDate>
  <CharactersWithSpaces>1949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2023-08-10T02:43:00Z</dcterms:created>
  <dc:creator>夏新凤</dc:creator>
  <cp:lastModifiedBy>燕南天</cp:lastModifiedBy>
  <dcterms:modified xsi:type="dcterms:W3CDTF">2023-08-26T04:17:24Z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A941D34BC452465DAA3C66210B360E57_13</vt:lpwstr>
  </property>
</Properties>
</file>