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630" w:lineRule="atLeast"/>
        <w:jc w:val="center"/>
        <w:rPr>
          <w:rStyle w:val="9"/>
          <w:rFonts w:hint="eastAsia"/>
          <w:color w:val="333333"/>
          <w:sz w:val="44"/>
          <w:szCs w:val="44"/>
        </w:rPr>
      </w:pPr>
    </w:p>
    <w:p>
      <w:pPr>
        <w:pStyle w:val="6"/>
        <w:shd w:val="clear" w:color="auto" w:fill="FFFFFF"/>
        <w:spacing w:before="0" w:beforeAutospacing="0" w:after="0" w:afterAutospacing="0" w:line="630" w:lineRule="atLeast"/>
        <w:jc w:val="center"/>
        <w:rPr>
          <w:rFonts w:ascii="仿宋" w:hAnsi="仿宋" w:eastAsia="仿宋"/>
          <w:color w:val="333333"/>
          <w:sz w:val="32"/>
          <w:szCs w:val="32"/>
        </w:rPr>
      </w:pPr>
      <w:r>
        <w:rPr>
          <w:rStyle w:val="9"/>
          <w:rFonts w:hint="eastAsia"/>
          <w:color w:val="333333"/>
          <w:sz w:val="44"/>
          <w:szCs w:val="44"/>
        </w:rPr>
        <w:t>药品注册管理办法</w:t>
      </w:r>
    </w:p>
    <w:p>
      <w:pPr>
        <w:pStyle w:val="6"/>
        <w:shd w:val="clear" w:color="auto" w:fill="FFFFFF"/>
        <w:spacing w:before="0" w:beforeAutospacing="0" w:after="0" w:afterAutospacing="0" w:line="630" w:lineRule="atLeast"/>
        <w:ind w:firstLine="560" w:firstLineChars="200"/>
        <w:rPr>
          <w:rFonts w:hint="eastAsia" w:ascii="楷体_GB2312" w:hAnsi="仿宋" w:eastAsia="楷体_GB2312"/>
          <w:color w:val="333333"/>
          <w:sz w:val="32"/>
          <w:szCs w:val="32"/>
        </w:rPr>
      </w:pPr>
      <w:r>
        <w:rPr>
          <w:rFonts w:hint="eastAsia" w:ascii="楷体_GB2312" w:hAnsi="仿宋" w:eastAsia="楷体_GB2312"/>
          <w:color w:val="333333"/>
          <w:sz w:val="28"/>
          <w:szCs w:val="28"/>
        </w:rPr>
        <w:t>（2020年1月22日国家市场监督管理总局令第27号公布 自2020年7月1日起施行）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第一章 总 则</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第一条</w:t>
      </w:r>
      <w:r>
        <w:rPr>
          <w:rFonts w:hint="eastAsia"/>
          <w:color w:val="333333"/>
          <w:sz w:val="32"/>
          <w:szCs w:val="32"/>
        </w:rPr>
        <w:t> </w:t>
      </w:r>
      <w:r>
        <w:rPr>
          <w:rFonts w:hint="eastAsia" w:ascii="仿宋" w:hAnsi="仿宋" w:eastAsia="仿宋"/>
          <w:color w:val="333333"/>
          <w:sz w:val="32"/>
          <w:szCs w:val="32"/>
        </w:rPr>
        <w:t>为规范药品注册行为，保证药品的安全、有</w:t>
      </w:r>
      <w:bookmarkStart w:id="0" w:name="_GoBack"/>
      <w:bookmarkEnd w:id="0"/>
      <w:r>
        <w:rPr>
          <w:rFonts w:hint="eastAsia" w:ascii="仿宋" w:hAnsi="仿宋" w:eastAsia="仿宋"/>
          <w:color w:val="333333"/>
          <w:sz w:val="32"/>
          <w:szCs w:val="32"/>
        </w:rPr>
        <w:t>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第二条</w:t>
      </w:r>
      <w:r>
        <w:rPr>
          <w:rFonts w:hint="eastAsia"/>
          <w:color w:val="333333"/>
          <w:sz w:val="32"/>
          <w:szCs w:val="32"/>
        </w:rPr>
        <w:t> </w:t>
      </w:r>
      <w:r>
        <w:rPr>
          <w:rFonts w:hint="eastAsia" w:ascii="仿宋" w:hAnsi="仿宋" w:eastAsia="仿宋"/>
          <w:color w:val="333333"/>
          <w:sz w:val="32"/>
          <w:szCs w:val="32"/>
        </w:rPr>
        <w:t>在中华人民共和国境内以药品上市为目的，从事药品研制、注册及监督管理活动，适用本办法。</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第三条</w:t>
      </w:r>
      <w:r>
        <w:rPr>
          <w:rFonts w:hint="eastAsia"/>
          <w:color w:val="333333"/>
          <w:sz w:val="32"/>
          <w:szCs w:val="32"/>
        </w:rPr>
        <w:t> </w:t>
      </w:r>
      <w:r>
        <w:rPr>
          <w:rFonts w:hint="eastAsia" w:ascii="仿宋" w:hAnsi="仿宋" w:eastAsia="仿宋"/>
          <w:color w:val="333333"/>
          <w:sz w:val="32"/>
          <w:szCs w:val="32"/>
        </w:rPr>
        <w:t>药品注册是指药品注册申请人（以下简称申请人）依照法定程序和相关要求提出药物临床试验、药品上市许可、再注册等申请以及补充申请，药品监督管理部门基于法律法规和现有科学认知进行安全性、有效性和质量可控性等审查，决定是否同意其申请的活动。</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申请人取得药品注册证书后，为药品上市许可持有人（以下简称持有人）。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第四条</w:t>
      </w:r>
      <w:r>
        <w:rPr>
          <w:rFonts w:hint="eastAsia"/>
          <w:color w:val="333333"/>
          <w:sz w:val="32"/>
          <w:szCs w:val="32"/>
        </w:rPr>
        <w:t> </w:t>
      </w:r>
      <w:r>
        <w:rPr>
          <w:rFonts w:hint="eastAsia" w:ascii="仿宋" w:hAnsi="仿宋" w:eastAsia="仿宋"/>
          <w:color w:val="333333"/>
          <w:sz w:val="32"/>
          <w:szCs w:val="32"/>
        </w:rPr>
        <w:t>药品注册按照中药、化学药和生物制品等进行分类注册管理。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中药注册按照中药创新药、中药改良型新药、古代经典名方中药复方制剂、同名同方药等进行分类。</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化学药注册按照化学药创新药、化学药改良型新药、仿制药等进行分类。</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生物制品注册按照生物制品创新药、生物制品改良型新药、已上市生物制品（含生物类似药）等进行分类。</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中药、化学药和生物制品等药品的细化分类和相应的申报资料要求，由国家药品监督管理局根据注册药品的产品特性、创新程度和审评管理需要组织制定，并向社会公布。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境外生产药品的注册申请，按照药品的细化分类和相应的申报资料要求执行。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第五条</w:t>
      </w:r>
      <w:r>
        <w:rPr>
          <w:rFonts w:hint="eastAsia"/>
          <w:color w:val="333333"/>
          <w:sz w:val="32"/>
          <w:szCs w:val="32"/>
        </w:rPr>
        <w:t> </w:t>
      </w:r>
      <w:r>
        <w:rPr>
          <w:rFonts w:hint="eastAsia" w:ascii="仿宋" w:hAnsi="仿宋" w:eastAsia="仿宋"/>
          <w:color w:val="333333"/>
          <w:sz w:val="32"/>
          <w:szCs w:val="32"/>
        </w:rPr>
        <w:t>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药品专业技术机构，承担依法实施药品注册管理所需的药品注册检验、通用名称核准、核查、监测与评价、制证送达以及相应的信息化建设与管理等相关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第六条</w:t>
      </w:r>
      <w:r>
        <w:rPr>
          <w:rFonts w:hint="eastAsia"/>
          <w:color w:val="333333"/>
          <w:sz w:val="32"/>
          <w:szCs w:val="32"/>
        </w:rPr>
        <w:t> </w:t>
      </w:r>
      <w:r>
        <w:rPr>
          <w:rFonts w:hint="eastAsia" w:ascii="仿宋" w:hAnsi="仿宋" w:eastAsia="仿宋"/>
          <w:color w:val="333333"/>
          <w:sz w:val="32"/>
          <w:szCs w:val="32"/>
        </w:rPr>
        <w:t>省、自治区、直辖市药品监督管理部门负责本行政区域内以下药品注册相关管理工作：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（一）境内生产药品再注册申请的受理、审查和审批；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（二）药品上市后变更的备案、报告事项管理；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（三）组织对药物非临床安全性评价研究机构、药物临床试验机构的日常监管及违法行为的查处；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（四）参与国家药品监督管理局组织的药品注册核查、检验等工作；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（五）国家药品监督管理局委托实施的药品注册相关事项。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省、自治区、直辖市药品监督管理部门设置或者指定的药品专业技术机构，承担依法实施药品监督管理所需的审评、检验、核查、监测与评价等工作。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第七条</w:t>
      </w:r>
      <w:r>
        <w:rPr>
          <w:rFonts w:hint="eastAsia"/>
          <w:color w:val="333333"/>
          <w:sz w:val="32"/>
          <w:szCs w:val="32"/>
        </w:rPr>
        <w:t> </w:t>
      </w:r>
      <w:r>
        <w:rPr>
          <w:rFonts w:hint="eastAsia" w:ascii="仿宋" w:hAnsi="仿宋" w:eastAsia="仿宋"/>
          <w:color w:val="333333"/>
          <w:sz w:val="32"/>
          <w:szCs w:val="32"/>
        </w:rPr>
        <w:t>药品注册管理遵循公开、公平、公正原则，以临床价值为导向，鼓励研究和创制新药，积极推动仿制药发展。</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国家药品监督管理局持续推进审评审批制度改革，优化审评审批程序，提高审评审批效率，建立以审评为主导，检验、核查、监测与评价等为支撑的药品注册管理体系。</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第二章 基本制度和要求</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第八条</w:t>
      </w:r>
      <w:r>
        <w:rPr>
          <w:rFonts w:hint="eastAsia"/>
          <w:color w:val="333333"/>
          <w:sz w:val="32"/>
          <w:szCs w:val="32"/>
        </w:rPr>
        <w:t> </w:t>
      </w:r>
      <w:r>
        <w:rPr>
          <w:rFonts w:hint="eastAsia" w:ascii="仿宋" w:hAnsi="仿宋" w:eastAsia="仿宋"/>
          <w:color w:val="333333"/>
          <w:sz w:val="32"/>
          <w:szCs w:val="32"/>
        </w:rPr>
        <w:t>从事药物研制和药品注册活动，应当遵守有关法律、法规、规章、标准和规范；参照相关技术指导原则，采用其他评价方法和技术的，应当证明其科学性、适用性；应当保证全过程信息真实、准确、完整和可追溯。</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应当符合国家药品标准和经国家药品监督管理局核准的药品质量标准。经国家药品监督管理局核准的药品质量标准，为药品注册标准。药品注册标准应当符合《中华人民共和国药典》通用技术要求，不得低于《中华人民共和国药典》的规定。申报注册品种的检测项目或者指标不适用《中华人民共和国药典》的，申请人应当提供充分的支持性数据。</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药品审评中心等专业技术机构，应当根据科学进展、行业发展实际和药品监督管理工作需要制定技术指导原则和程序，并向社会公布。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第九条</w:t>
      </w:r>
      <w:r>
        <w:rPr>
          <w:rFonts w:hint="eastAsia"/>
          <w:color w:val="333333"/>
          <w:sz w:val="32"/>
          <w:szCs w:val="32"/>
        </w:rPr>
        <w:t> </w:t>
      </w:r>
      <w:r>
        <w:rPr>
          <w:rFonts w:hint="eastAsia" w:ascii="仿宋" w:hAnsi="仿宋" w:eastAsia="仿宋"/>
          <w:color w:val="333333"/>
          <w:sz w:val="32"/>
          <w:szCs w:val="32"/>
        </w:rPr>
        <w:t>申请人应当为能够承担相应法律责任的企业或者药品研制机构等。境外申请人应当指定中国境内的企业法人办理相关药品注册事项。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第十条</w:t>
      </w:r>
      <w:r>
        <w:rPr>
          <w:rFonts w:hint="eastAsia"/>
          <w:color w:val="333333"/>
          <w:sz w:val="32"/>
          <w:szCs w:val="32"/>
        </w:rPr>
        <w:t> </w:t>
      </w:r>
      <w:r>
        <w:rPr>
          <w:rFonts w:hint="eastAsia" w:ascii="仿宋" w:hAnsi="仿宋" w:eastAsia="仿宋"/>
          <w:color w:val="333333"/>
          <w:sz w:val="32"/>
          <w:szCs w:val="32"/>
        </w:rPr>
        <w:t>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申请药品注册，应当提供真实、充分、可靠的数据、资料和样品，证明药品的安全性、有效性和质量可控性。</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使用境外研究资料和数据支持药品注册的，其来源、研究机构或者实验室条件、质量体系要求及其他管理条件等应当符合国际人用药品注册技术要求协调会通行原则，并符合我国药品注册管理的相关要求。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第十一条</w:t>
      </w:r>
      <w:r>
        <w:rPr>
          <w:rFonts w:hint="eastAsia"/>
          <w:color w:val="333333"/>
          <w:sz w:val="32"/>
          <w:szCs w:val="32"/>
        </w:rPr>
        <w:t> </w:t>
      </w:r>
      <w:r>
        <w:rPr>
          <w:rFonts w:hint="eastAsia" w:ascii="仿宋" w:hAnsi="仿宋" w:eastAsia="仿宋"/>
          <w:color w:val="333333"/>
          <w:sz w:val="32"/>
          <w:szCs w:val="32"/>
        </w:rPr>
        <w:t>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第十二条</w:t>
      </w:r>
      <w:r>
        <w:rPr>
          <w:rFonts w:hint="eastAsia"/>
          <w:color w:val="333333"/>
          <w:sz w:val="32"/>
          <w:szCs w:val="32"/>
        </w:rPr>
        <w:t> </w:t>
      </w:r>
      <w:r>
        <w:rPr>
          <w:rFonts w:hint="eastAsia" w:ascii="仿宋" w:hAnsi="仿宋" w:eastAsia="仿宋"/>
          <w:color w:val="333333"/>
          <w:sz w:val="32"/>
          <w:szCs w:val="32"/>
        </w:rPr>
        <w:t>药品注册证书有效期为五年，药品注册证书有效期内持有人应当持续保证上市药品的安全性、有效性和质量可控性，并在有效期届满前六个月申请药品再注册。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第十三条</w:t>
      </w:r>
      <w:r>
        <w:rPr>
          <w:rFonts w:hint="eastAsia"/>
          <w:color w:val="333333"/>
          <w:sz w:val="32"/>
          <w:szCs w:val="32"/>
        </w:rPr>
        <w:t> </w:t>
      </w:r>
      <w:r>
        <w:rPr>
          <w:rFonts w:hint="eastAsia" w:ascii="仿宋" w:hAnsi="仿宋" w:eastAsia="仿宋"/>
          <w:color w:val="333333"/>
          <w:sz w:val="32"/>
          <w:szCs w:val="32"/>
        </w:rPr>
        <w:t>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第十四条</w:t>
      </w:r>
      <w:r>
        <w:rPr>
          <w:rFonts w:hint="eastAsia"/>
          <w:color w:val="333333"/>
          <w:sz w:val="32"/>
          <w:szCs w:val="32"/>
        </w:rPr>
        <w:t> </w:t>
      </w:r>
      <w:r>
        <w:rPr>
          <w:rFonts w:hint="eastAsia" w:ascii="仿宋" w:hAnsi="仿宋" w:eastAsia="仿宋"/>
          <w:color w:val="333333"/>
          <w:sz w:val="32"/>
          <w:szCs w:val="32"/>
        </w:rPr>
        <w:t>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第十五条</w:t>
      </w:r>
      <w:r>
        <w:rPr>
          <w:rFonts w:hint="eastAsia"/>
          <w:color w:val="333333"/>
          <w:sz w:val="32"/>
          <w:szCs w:val="32"/>
        </w:rPr>
        <w:t> </w:t>
      </w:r>
      <w:r>
        <w:rPr>
          <w:rFonts w:hint="eastAsia" w:ascii="仿宋" w:hAnsi="仿宋" w:eastAsia="仿宋"/>
          <w:color w:val="333333"/>
          <w:sz w:val="32"/>
          <w:szCs w:val="32"/>
        </w:rPr>
        <w:t>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第十六条</w:t>
      </w:r>
      <w:r>
        <w:rPr>
          <w:rFonts w:hint="eastAsia"/>
          <w:color w:val="333333"/>
          <w:sz w:val="32"/>
          <w:szCs w:val="32"/>
        </w:rPr>
        <w:t> </w:t>
      </w:r>
      <w:r>
        <w:rPr>
          <w:rFonts w:hint="eastAsia" w:ascii="仿宋" w:hAnsi="仿宋" w:eastAsia="仿宋"/>
          <w:color w:val="333333"/>
          <w:sz w:val="32"/>
          <w:szCs w:val="32"/>
        </w:rPr>
        <w:t>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沟通交流的程序、要求和时限，由药品审评中心等专业技术机构依照职能分别制定，并向社会公布。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第十七条</w:t>
      </w:r>
      <w:r>
        <w:rPr>
          <w:rFonts w:hint="eastAsia"/>
          <w:color w:val="333333"/>
          <w:sz w:val="32"/>
          <w:szCs w:val="32"/>
        </w:rPr>
        <w:t> </w:t>
      </w:r>
      <w:r>
        <w:rPr>
          <w:rFonts w:hint="eastAsia" w:ascii="仿宋" w:hAnsi="仿宋" w:eastAsia="仿宋"/>
          <w:color w:val="333333"/>
          <w:sz w:val="32"/>
          <w:szCs w:val="32"/>
        </w:rPr>
        <w:t>药品审评中心等专业技术机构根据工作需要建立专家咨询制度，成立专家咨询委员会，在审评、核查、检验、通用名称核准等过程中就重大问题听取专家意见，充分发挥专家的技术支撑作用。</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第十八条</w:t>
      </w:r>
      <w:r>
        <w:rPr>
          <w:rFonts w:hint="eastAsia"/>
          <w:color w:val="333333"/>
          <w:sz w:val="32"/>
          <w:szCs w:val="32"/>
        </w:rPr>
        <w:t> </w:t>
      </w:r>
      <w:r>
        <w:rPr>
          <w:rFonts w:hint="eastAsia" w:ascii="仿宋" w:hAnsi="仿宋" w:eastAsia="仿宋"/>
          <w:color w:val="333333"/>
          <w:sz w:val="32"/>
          <w:szCs w:val="32"/>
        </w:rPr>
        <w:t>国家药品监督管理局建立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第十九条</w:t>
      </w:r>
      <w:r>
        <w:rPr>
          <w:rFonts w:hint="eastAsia"/>
          <w:color w:val="333333"/>
          <w:sz w:val="32"/>
          <w:szCs w:val="32"/>
        </w:rPr>
        <w:t> </w:t>
      </w:r>
      <w:r>
        <w:rPr>
          <w:rFonts w:hint="eastAsia" w:ascii="仿宋" w:hAnsi="仿宋" w:eastAsia="仿宋"/>
          <w:color w:val="333333"/>
          <w:sz w:val="32"/>
          <w:szCs w:val="32"/>
        </w:rPr>
        <w:t>国家药品监督管理局支持中药传承和创新，建立和完善符合中药特点的注册管理制度和技术评价体系，鼓励运用现代科学技术和传统研究方法研制中药，加强中药质量控制，提高中药临床试验水平。</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中药注册申请，申请人应当进行临床价值和资源评估，突出以临床价值为导向，促进资源可持续利用。</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第三章 药品上市注册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第一节 药物临床试验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第二十条</w:t>
      </w:r>
      <w:r>
        <w:rPr>
          <w:rFonts w:hint="eastAsia"/>
          <w:color w:val="333333"/>
          <w:sz w:val="32"/>
          <w:szCs w:val="32"/>
        </w:rPr>
        <w:t> </w:t>
      </w:r>
      <w:r>
        <w:rPr>
          <w:rFonts w:hint="eastAsia" w:ascii="仿宋" w:hAnsi="仿宋" w:eastAsia="仿宋"/>
          <w:color w:val="333333"/>
          <w:sz w:val="32"/>
          <w:szCs w:val="32"/>
        </w:rPr>
        <w:t>本办法所称药物临床试验是指以药品上市注册为目的，为确定药物安全性与有效性在人体开展的药物研究。</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第二十一条</w:t>
      </w:r>
      <w:r>
        <w:rPr>
          <w:rFonts w:hint="eastAsia"/>
          <w:color w:val="333333"/>
          <w:sz w:val="32"/>
          <w:szCs w:val="32"/>
        </w:rPr>
        <w:t> </w:t>
      </w:r>
      <w:r>
        <w:rPr>
          <w:rFonts w:hint="eastAsia" w:ascii="仿宋" w:hAnsi="仿宋" w:eastAsia="仿宋"/>
          <w:color w:val="333333"/>
          <w:sz w:val="32"/>
          <w:szCs w:val="32"/>
        </w:rPr>
        <w:t>药物临床试验分为Ⅰ期临床试验、Ⅱ期临床试验、Ⅲ期临床试验、Ⅳ期临床试验以及生物等效性试验。根据药物特点和研究目的，研究内容包括临床药理学研究、探索性临床试验、确证性临床试验和上市后研究。</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第二十二条</w:t>
      </w:r>
      <w:r>
        <w:rPr>
          <w:rFonts w:hint="eastAsia"/>
          <w:color w:val="333333"/>
          <w:sz w:val="32"/>
          <w:szCs w:val="32"/>
        </w:rPr>
        <w:t> </w:t>
      </w:r>
      <w:r>
        <w:rPr>
          <w:rFonts w:hint="eastAsia" w:ascii="仿宋" w:hAnsi="仿宋" w:eastAsia="仿宋"/>
          <w:color w:val="333333"/>
          <w:sz w:val="32"/>
          <w:szCs w:val="32"/>
        </w:rPr>
        <w:t>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第二十三条</w:t>
      </w:r>
      <w:r>
        <w:rPr>
          <w:rFonts w:hint="eastAsia"/>
          <w:color w:val="333333"/>
          <w:sz w:val="32"/>
          <w:szCs w:val="32"/>
        </w:rPr>
        <w:t> </w:t>
      </w:r>
      <w:r>
        <w:rPr>
          <w:rFonts w:hint="eastAsia" w:ascii="仿宋" w:hAnsi="仿宋" w:eastAsia="仿宋"/>
          <w:color w:val="333333"/>
          <w:sz w:val="32"/>
          <w:szCs w:val="32"/>
        </w:rPr>
        <w:t>申请人完成支持药物临床试验的药学、药理毒理学等研究后，提出药物临床试验申请的，应当按照申报资料要求提交相关研究资料。经形式审查，申报资料符合要求的，予以受理。药品审评中心应当组织药学、医学和其他技术人员对已受理的药物临床试验申请进行审评。对药物临床试验申请应当自受理之日起六十日内决定是否同意开展，并通过药品审评中心网站通知申请人审批结果；逾期未通知的，视为同意，申请人可以按照提交的方案开展药物临床试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申请人获准开展药物临床试验的为药物临床试验申办者（以下简称申办者）。</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第二十四条</w:t>
      </w:r>
      <w:r>
        <w:rPr>
          <w:rFonts w:hint="eastAsia"/>
          <w:color w:val="333333"/>
          <w:sz w:val="32"/>
          <w:szCs w:val="32"/>
        </w:rPr>
        <w:t> </w:t>
      </w:r>
      <w:r>
        <w:rPr>
          <w:rFonts w:hint="eastAsia" w:ascii="仿宋" w:hAnsi="仿宋" w:eastAsia="仿宋"/>
          <w:color w:val="333333"/>
          <w:sz w:val="32"/>
          <w:szCs w:val="32"/>
        </w:rPr>
        <w:t>申请人拟开展生物等效性试验的，应当按照要求在药品审评中心网站完成生物等效性试验备案后，按照备案的方案开展相关研究工作。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第二十五条</w:t>
      </w:r>
      <w:r>
        <w:rPr>
          <w:rFonts w:hint="eastAsia"/>
          <w:color w:val="333333"/>
          <w:sz w:val="32"/>
          <w:szCs w:val="32"/>
        </w:rPr>
        <w:t> </w:t>
      </w:r>
      <w:r>
        <w:rPr>
          <w:rFonts w:hint="eastAsia" w:ascii="仿宋" w:hAnsi="仿宋" w:eastAsia="仿宋"/>
          <w:color w:val="333333"/>
          <w:sz w:val="32"/>
          <w:szCs w:val="32"/>
        </w:rPr>
        <w:t>开展药物临床试验，应当经伦理委员会审查同意。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药物临床试验用药品的管理应当符合药物临床试验质量管理规范的有关要求。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第二十六条</w:t>
      </w:r>
      <w:r>
        <w:rPr>
          <w:rFonts w:hint="eastAsia"/>
          <w:color w:val="333333"/>
          <w:sz w:val="32"/>
          <w:szCs w:val="32"/>
        </w:rPr>
        <w:t> </w:t>
      </w:r>
      <w:r>
        <w:rPr>
          <w:rFonts w:hint="eastAsia" w:ascii="仿宋" w:hAnsi="仿宋" w:eastAsia="仿宋"/>
          <w:color w:val="333333"/>
          <w:sz w:val="32"/>
          <w:szCs w:val="32"/>
        </w:rPr>
        <w:t>获准开展药物临床试验的，申办者在开展后续分期药物临床试验前，应当制定相应的药物临床试验方案，经伦理委员会审查同意后开展，并在药品审评中心网站提交相应的药物临床试验方案和支持性资料。</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第二十七条</w:t>
      </w:r>
      <w:r>
        <w:rPr>
          <w:rFonts w:hint="eastAsia"/>
          <w:color w:val="333333"/>
          <w:sz w:val="32"/>
          <w:szCs w:val="32"/>
        </w:rPr>
        <w:t> </w:t>
      </w:r>
      <w:r>
        <w:rPr>
          <w:rFonts w:hint="eastAsia" w:ascii="仿宋" w:hAnsi="仿宋" w:eastAsia="仿宋"/>
          <w:color w:val="333333"/>
          <w:sz w:val="32"/>
          <w:szCs w:val="32"/>
        </w:rPr>
        <w:t>获准开展药物临床试验的药物拟增加适应症（或者功能主治）以及增加与其他药物联合用药的，申请人应当提出新的药物临床试验申请，经批准后方可开展新的药物临床试验。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获准上市的药品增加适应症（或者功能主治）需要开展药物临床试验的，应当提出新的药物临床试验申请。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第二十八条</w:t>
      </w:r>
      <w:r>
        <w:rPr>
          <w:rFonts w:hint="eastAsia"/>
          <w:color w:val="333333"/>
          <w:sz w:val="32"/>
          <w:szCs w:val="32"/>
        </w:rPr>
        <w:t> </w:t>
      </w:r>
      <w:r>
        <w:rPr>
          <w:rFonts w:hint="eastAsia" w:ascii="仿宋" w:hAnsi="仿宋" w:eastAsia="仿宋"/>
          <w:color w:val="333333"/>
          <w:sz w:val="32"/>
          <w:szCs w:val="32"/>
        </w:rPr>
        <w:t>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于药物临床试验期间出现的可疑且非预期严重不良反应和其他潜在的严重安全性风险信息，申办者应当按照相关要求及时向药品审评中心报告。根据安全性风险严重程度，可以要求申办者采取调整药物临床试验方案、知情同意书、研究者手册等加强风险控制的措施，必要时可以要求申办者暂停或者终止药物临床试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研发期间安全性更新报告的具体要求由药品审评中心制定公布。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第二十九条</w:t>
      </w:r>
      <w:r>
        <w:rPr>
          <w:rFonts w:hint="eastAsia"/>
          <w:color w:val="333333"/>
          <w:sz w:val="32"/>
          <w:szCs w:val="32"/>
        </w:rPr>
        <w:t> </w:t>
      </w:r>
      <w:r>
        <w:rPr>
          <w:rFonts w:hint="eastAsia" w:ascii="仿宋" w:hAnsi="仿宋" w:eastAsia="仿宋"/>
          <w:color w:val="333333"/>
          <w:sz w:val="32"/>
          <w:szCs w:val="32"/>
        </w:rPr>
        <w:t>药物临床试验期间，发生药物临床试验方案变更、非临床或者药学的变化或者有新发现的，申办者应当按照规定，参照相关技术指导原则，充分评估对受试者安全的影响。</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办者评估认为不影响受试者安全的，可以直接实施并在研发期间安全性更新报告中报告。可能增加受试者安全性风险的，应当提出补充申请。对补充申请应当自受理之日起六十日内决定是否同意，并通过药品审评中心网站通知申请人审批结果；逾期未通知的，视为同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申办者发生变更的，由变更后的申办者承担药物临床试验的相关责任和义务。</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第三十条</w:t>
      </w:r>
      <w:r>
        <w:rPr>
          <w:rFonts w:hint="eastAsia"/>
          <w:color w:val="333333"/>
          <w:sz w:val="32"/>
          <w:szCs w:val="32"/>
        </w:rPr>
        <w:t> </w:t>
      </w:r>
      <w:r>
        <w:rPr>
          <w:rFonts w:hint="eastAsia" w:ascii="仿宋" w:hAnsi="仿宋" w:eastAsia="仿宋"/>
          <w:color w:val="333333"/>
          <w:sz w:val="32"/>
          <w:szCs w:val="32"/>
        </w:rPr>
        <w:t>药物临床试验期间，发现存在安全性问题或者其他风险的，申办者应当及时调整临床试验方案、暂停或者终止临床试验，并向药品审评中心报告。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有下列情形之一的，可以要求申办者调整药物临床试验方案、暂停或者终止药物临床试验：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（一）伦理委员会未履行职责的；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（二）不能有效保证受试者安全的；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（三）申办者未按照要求提交研发期间安全性更新报告的；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（四）申办者未及时处置并报告可疑且非预期严重不良反应的；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（五）有证据证明研究药物无效的；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（六）临床试验用药品出现质量问题的；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（七）药物临床试验过程中弄虚作假的；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（八）其他违反药物临床试验质量管理规范的情形。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第三十一条</w:t>
      </w:r>
      <w:r>
        <w:rPr>
          <w:rFonts w:hint="eastAsia"/>
          <w:color w:val="333333"/>
          <w:sz w:val="32"/>
          <w:szCs w:val="32"/>
        </w:rPr>
        <w:t> </w:t>
      </w:r>
      <w:r>
        <w:rPr>
          <w:rFonts w:hint="eastAsia" w:ascii="仿宋" w:hAnsi="仿宋" w:eastAsia="仿宋"/>
          <w:color w:val="333333"/>
          <w:sz w:val="32"/>
          <w:szCs w:val="32"/>
        </w:rPr>
        <w:t>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药物临床试验终止后，拟继续开展药物临床试验的，应当重新提出药物临床试验申请。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第三十二条</w:t>
      </w:r>
      <w:r>
        <w:rPr>
          <w:rFonts w:hint="eastAsia"/>
          <w:color w:val="333333"/>
          <w:sz w:val="32"/>
          <w:szCs w:val="32"/>
        </w:rPr>
        <w:t> </w:t>
      </w:r>
      <w:r>
        <w:rPr>
          <w:rFonts w:hint="eastAsia" w:ascii="仿宋" w:hAnsi="仿宋" w:eastAsia="仿宋"/>
          <w:color w:val="333333"/>
          <w:sz w:val="32"/>
          <w:szCs w:val="32"/>
        </w:rPr>
        <w:t>药物临床试验应当在批准后三年内实施。药物临床试验申请自获准之日起，三年内未有受试者签署知情同意书的，该药物临床试验许可自行失效。仍需实施药物临床试验的，应当重新申请。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第三十三条</w:t>
      </w:r>
      <w:r>
        <w:rPr>
          <w:rFonts w:hint="eastAsia"/>
          <w:color w:val="333333"/>
          <w:sz w:val="32"/>
          <w:szCs w:val="32"/>
        </w:rPr>
        <w:t> </w:t>
      </w:r>
      <w:r>
        <w:rPr>
          <w:rFonts w:hint="eastAsia" w:ascii="仿宋" w:hAnsi="仿宋" w:eastAsia="仿宋"/>
          <w:color w:val="333333"/>
          <w:sz w:val="32"/>
          <w:szCs w:val="32"/>
        </w:rPr>
        <w:t>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药物临床试验登记和信息公示的具体要求，由药品审评中心制定公布。</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第二节 药品上市许可</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第三十四条</w:t>
      </w:r>
      <w:r>
        <w:rPr>
          <w:rFonts w:hint="eastAsia"/>
          <w:color w:val="333333"/>
          <w:sz w:val="32"/>
          <w:szCs w:val="32"/>
        </w:rPr>
        <w:t> </w:t>
      </w:r>
      <w:r>
        <w:rPr>
          <w:rFonts w:hint="eastAsia" w:ascii="仿宋" w:hAnsi="仿宋" w:eastAsia="仿宋"/>
          <w:color w:val="333333"/>
          <w:sz w:val="32"/>
          <w:szCs w:val="32"/>
        </w:rPr>
        <w:t>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第三十五条</w:t>
      </w:r>
      <w:r>
        <w:rPr>
          <w:rFonts w:hint="eastAsia"/>
          <w:color w:val="333333"/>
          <w:sz w:val="32"/>
          <w:szCs w:val="32"/>
        </w:rPr>
        <w:t> </w:t>
      </w:r>
      <w:r>
        <w:rPr>
          <w:rFonts w:hint="eastAsia" w:ascii="仿宋" w:hAnsi="仿宋" w:eastAsia="仿宋"/>
          <w:color w:val="333333"/>
          <w:sz w:val="32"/>
          <w:szCs w:val="32"/>
        </w:rPr>
        <w:t>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仿制药应当与参比制剂质量和疗效一致。申请人应当参照相关技术指导原则选择合理的参比制剂。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第三十六条</w:t>
      </w:r>
      <w:r>
        <w:rPr>
          <w:rFonts w:hint="eastAsia"/>
          <w:color w:val="333333"/>
          <w:sz w:val="32"/>
          <w:szCs w:val="32"/>
        </w:rPr>
        <w:t> </w:t>
      </w:r>
      <w:r>
        <w:rPr>
          <w:rFonts w:hint="eastAsia" w:ascii="仿宋" w:hAnsi="仿宋" w:eastAsia="仿宋"/>
          <w:color w:val="333333"/>
          <w:sz w:val="32"/>
          <w:szCs w:val="32"/>
        </w:rPr>
        <w:t>符合以下情形之一的，可以直接提出非处方药上市许可申请：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（一）境内已有相同活性成分、适应症（或者功能主治）、剂型、规格的非处方药上市的药品；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（二）经国家药品监督管理局确定的非处方药改变剂型或者规格，但不改变适应症（或者功能主治）、给药剂量以及给药途径的药品；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（三）使用国家药品监督管理局确定的非处方药的活性成份组成的新的复方制剂；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（四）其他直接申报非处方药上市许可的情形。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第三十七条</w:t>
      </w:r>
      <w:r>
        <w:rPr>
          <w:rFonts w:hint="eastAsia"/>
          <w:color w:val="333333"/>
          <w:sz w:val="32"/>
          <w:szCs w:val="32"/>
        </w:rPr>
        <w:t> </w:t>
      </w:r>
      <w:r>
        <w:rPr>
          <w:rFonts w:hint="eastAsia" w:ascii="仿宋" w:hAnsi="仿宋" w:eastAsia="仿宋"/>
          <w:color w:val="333333"/>
          <w:sz w:val="32"/>
          <w:szCs w:val="32"/>
        </w:rPr>
        <w:t>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药典委在核准药品通用名称时，应当与申请人做好沟通交流，并将核准结果告知申请人。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第三十八条</w:t>
      </w:r>
      <w:r>
        <w:rPr>
          <w:rFonts w:hint="eastAsia"/>
          <w:color w:val="333333"/>
          <w:sz w:val="32"/>
          <w:szCs w:val="32"/>
        </w:rPr>
        <w:t> </w:t>
      </w:r>
      <w:r>
        <w:rPr>
          <w:rFonts w:hint="eastAsia" w:ascii="仿宋" w:hAnsi="仿宋" w:eastAsia="仿宋"/>
          <w:color w:val="333333"/>
          <w:sz w:val="32"/>
          <w:szCs w:val="32"/>
        </w:rPr>
        <w:t>药品审评中心应当组织药学、医学和其他技术人员，按要求对已受理的药品上市许可申请进行审评。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审评过程中基于风险启动药品注册核查、检验，相关技术机构应当在规定时限内完成核查、检验工作。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药品审评中心根据药品注册申报资料、核查结果、检验结果等，对药品的安全性、有效性和质量可控性等进行综合审评，非处方药还应当转药品评价中心进行非处方药适宜性审查。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第三十九条</w:t>
      </w:r>
      <w:r>
        <w:rPr>
          <w:rFonts w:hint="eastAsia"/>
          <w:color w:val="333333"/>
          <w:sz w:val="32"/>
          <w:szCs w:val="32"/>
        </w:rPr>
        <w:t> </w:t>
      </w:r>
      <w:r>
        <w:rPr>
          <w:rFonts w:hint="eastAsia" w:ascii="仿宋" w:hAnsi="仿宋" w:eastAsia="仿宋"/>
          <w:color w:val="333333"/>
          <w:sz w:val="32"/>
          <w:szCs w:val="32"/>
        </w:rPr>
        <w:t>综合审评结论通过的，批准药品上市，发给药品注册证书。综合审评结论不通过的，作出不予批准决定。药品注册证书载明药品批准文号、持有人、生产企业等信息。非处方药的药品注册证书还应当注明非处方药类别。</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经核准的药品生产工艺、质量标准、说明书和标签作为药品注册证书的附件一并发给申请人，必要时还应当附药品上市后研究要求。上述信息纳入药品品种档案，并根据上市后变更情况及时更新。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药品批准上市后，持有人应当按照国家药品监督管理局核准的生产工艺和质量标准生产药品，并按照药品生产质量管理规范要求进行细化和实施。</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第四十条</w:t>
      </w:r>
      <w:r>
        <w:rPr>
          <w:rFonts w:hint="eastAsia"/>
          <w:color w:val="333333"/>
          <w:sz w:val="32"/>
          <w:szCs w:val="32"/>
        </w:rPr>
        <w:t> </w:t>
      </w:r>
      <w:r>
        <w:rPr>
          <w:rFonts w:hint="eastAsia" w:ascii="仿宋" w:hAnsi="仿宋" w:eastAsia="仿宋"/>
          <w:color w:val="333333"/>
          <w:sz w:val="32"/>
          <w:szCs w:val="32"/>
        </w:rPr>
        <w:t>药品上市许可申请审评期间，发生可能影响药品安全性、有效性和质量可控性的重大变更的，申请人应当撤回原注册申请，补充研究后重新申报。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申请人名称变更、注册地址名称变更等不涉及技术审评内容的，应当及时书面告知药品审评中心并提交相关证明性资料。</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第三节 关联审评审批</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第四十一条</w:t>
      </w:r>
      <w:r>
        <w:rPr>
          <w:rFonts w:hint="eastAsia"/>
          <w:color w:val="333333"/>
          <w:sz w:val="32"/>
          <w:szCs w:val="32"/>
        </w:rPr>
        <w:t> </w:t>
      </w:r>
      <w:r>
        <w:rPr>
          <w:rFonts w:hint="eastAsia" w:ascii="仿宋" w:hAnsi="仿宋" w:eastAsia="仿宋"/>
          <w:color w:val="333333"/>
          <w:sz w:val="32"/>
          <w:szCs w:val="32"/>
        </w:rPr>
        <w:t>药品审评中心在审评药品制剂注册申请时，对药品制剂选用的化学原料药、辅料及直接接触药品的包装材料和容器进行关联审评。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第四十二条</w:t>
      </w:r>
      <w:r>
        <w:rPr>
          <w:rFonts w:hint="eastAsia"/>
          <w:color w:val="333333"/>
          <w:sz w:val="32"/>
          <w:szCs w:val="32"/>
        </w:rPr>
        <w:t> </w:t>
      </w:r>
      <w:r>
        <w:rPr>
          <w:rFonts w:hint="eastAsia" w:ascii="仿宋" w:hAnsi="仿宋" w:eastAsia="仿宋"/>
          <w:color w:val="333333"/>
          <w:sz w:val="32"/>
          <w:szCs w:val="32"/>
        </w:rPr>
        <w:t>药品制剂申请人提出药品注册申请，可以直接选用已登记的化学原料药、辅料及直接接触药品的包装材料和容器；选用未登记的化学原料药、辅料及直接接触药品的包装材料和容器的，相关研究资料应当随药品制剂注册申请一并申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第四十三条</w:t>
      </w:r>
      <w:r>
        <w:rPr>
          <w:rFonts w:hint="eastAsia"/>
          <w:color w:val="333333"/>
          <w:sz w:val="32"/>
          <w:szCs w:val="32"/>
        </w:rPr>
        <w:t> </w:t>
      </w:r>
      <w:r>
        <w:rPr>
          <w:rFonts w:hint="eastAsia" w:ascii="仿宋" w:hAnsi="仿宋" w:eastAsia="仿宋"/>
          <w:color w:val="333333"/>
          <w:sz w:val="32"/>
          <w:szCs w:val="32"/>
        </w:rPr>
        <w:t>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仿制境内已上市药品所用的化学原料药的，可以申请单独审评审批。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第四十四条</w:t>
      </w:r>
      <w:r>
        <w:rPr>
          <w:rFonts w:hint="eastAsia"/>
          <w:color w:val="333333"/>
          <w:sz w:val="32"/>
          <w:szCs w:val="32"/>
        </w:rPr>
        <w:t> </w:t>
      </w:r>
      <w:r>
        <w:rPr>
          <w:rFonts w:hint="eastAsia" w:ascii="仿宋" w:hAnsi="仿宋" w:eastAsia="仿宋"/>
          <w:color w:val="333333"/>
          <w:sz w:val="32"/>
          <w:szCs w:val="32"/>
        </w:rPr>
        <w:t>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未通过关联审评审批的，化学原料药、辅料及直接接触药品的包装材料和容器产品的登记状态维持不变，相关药品制剂申请不予批准。</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第四节 药品注册核查</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第四十五条</w:t>
      </w:r>
      <w:r>
        <w:rPr>
          <w:rFonts w:hint="eastAsia"/>
          <w:color w:val="333333"/>
          <w:sz w:val="32"/>
          <w:szCs w:val="32"/>
        </w:rPr>
        <w:t> </w:t>
      </w:r>
      <w:r>
        <w:rPr>
          <w:rFonts w:hint="eastAsia" w:ascii="仿宋" w:hAnsi="仿宋" w:eastAsia="仿宋"/>
          <w:color w:val="333333"/>
          <w:sz w:val="32"/>
          <w:szCs w:val="32"/>
        </w:rPr>
        <w:t>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药品注册核查启动的原则、程序、时限和要求，由药品审评中心制定公布；药品注册核查实施的原则、程序、时限和要求，由药品核查中心制定公布。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第四十六条</w:t>
      </w:r>
      <w:r>
        <w:rPr>
          <w:rFonts w:hint="eastAsia"/>
          <w:color w:val="333333"/>
          <w:sz w:val="32"/>
          <w:szCs w:val="32"/>
        </w:rPr>
        <w:t> </w:t>
      </w:r>
      <w:r>
        <w:rPr>
          <w:rFonts w:hint="eastAsia" w:ascii="仿宋" w:hAnsi="仿宋" w:eastAsia="仿宋"/>
          <w:color w:val="333333"/>
          <w:sz w:val="32"/>
          <w:szCs w:val="32"/>
        </w:rPr>
        <w:t>药品审评中心根据药物创新程度、药物研究机构既往接受核查情况等，基于风险决定是否开展药品注册研制现场核查。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第四十七条</w:t>
      </w:r>
      <w:r>
        <w:rPr>
          <w:rFonts w:hint="eastAsia"/>
          <w:color w:val="333333"/>
          <w:sz w:val="32"/>
          <w:szCs w:val="32"/>
        </w:rPr>
        <w:t> </w:t>
      </w:r>
      <w:r>
        <w:rPr>
          <w:rFonts w:hint="eastAsia" w:ascii="仿宋" w:hAnsi="仿宋" w:eastAsia="仿宋"/>
          <w:color w:val="333333"/>
          <w:sz w:val="32"/>
          <w:szCs w:val="32"/>
        </w:rPr>
        <w:t>药品审评中心根据申报注册的品种、工艺、设施、既往接受核查情况等因素，基于风险决定是否启动药品注册生产现场核查。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对于创新药、改良型新药以及生物制品等，应当进行药品注册生产现场核查和上市前药品生产质量管理规范检查。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对于仿制药等，根据是否已获得相应生产范围药品生产许可证且已有同剂型品种上市等情况，基于风险进行药品注册生产现场核查、上市前药品生产质量管理规范检查。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第四十八条</w:t>
      </w:r>
      <w:r>
        <w:rPr>
          <w:rFonts w:hint="eastAsia"/>
          <w:color w:val="333333"/>
          <w:sz w:val="32"/>
          <w:szCs w:val="32"/>
        </w:rPr>
        <w:t> </w:t>
      </w:r>
      <w:r>
        <w:rPr>
          <w:rFonts w:hint="eastAsia" w:ascii="仿宋" w:hAnsi="仿宋" w:eastAsia="仿宋"/>
          <w:color w:val="333333"/>
          <w:sz w:val="32"/>
          <w:szCs w:val="32"/>
        </w:rPr>
        <w:t>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申请人应当在规定时限内接受核查。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第四十九条</w:t>
      </w:r>
      <w:r>
        <w:rPr>
          <w:rFonts w:hint="eastAsia"/>
          <w:color w:val="333333"/>
          <w:sz w:val="32"/>
          <w:szCs w:val="32"/>
        </w:rPr>
        <w:t> </w:t>
      </w:r>
      <w:r>
        <w:rPr>
          <w:rFonts w:hint="eastAsia" w:ascii="仿宋" w:hAnsi="仿宋" w:eastAsia="仿宋"/>
          <w:color w:val="333333"/>
          <w:sz w:val="32"/>
          <w:szCs w:val="32"/>
        </w:rPr>
        <w:t>药品审评中心在审评过程中，发现申报资料真实性存疑或者有明确线索举报等，需要现场检查核实的，应当启动有因检查，必要时进行抽样检验。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第五十条</w:t>
      </w:r>
      <w:r>
        <w:rPr>
          <w:rFonts w:hint="eastAsia"/>
          <w:color w:val="333333"/>
          <w:sz w:val="32"/>
          <w:szCs w:val="32"/>
        </w:rPr>
        <w:t> </w:t>
      </w:r>
      <w:r>
        <w:rPr>
          <w:rFonts w:hint="eastAsia" w:ascii="仿宋" w:hAnsi="仿宋" w:eastAsia="仿宋"/>
          <w:color w:val="333333"/>
          <w:sz w:val="32"/>
          <w:szCs w:val="32"/>
        </w:rPr>
        <w:t>申请药品上市许可时，申请人和生产企业应当已取得相应的药品生产许可证。</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第五节 药品注册检验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第五十一条</w:t>
      </w:r>
      <w:r>
        <w:rPr>
          <w:rFonts w:hint="eastAsia"/>
          <w:color w:val="333333"/>
          <w:sz w:val="32"/>
          <w:szCs w:val="32"/>
        </w:rPr>
        <w:t> </w:t>
      </w:r>
      <w:r>
        <w:rPr>
          <w:rFonts w:hint="eastAsia" w:ascii="仿宋" w:hAnsi="仿宋" w:eastAsia="仿宋"/>
          <w:color w:val="333333"/>
          <w:sz w:val="32"/>
          <w:szCs w:val="32"/>
        </w:rPr>
        <w:t>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药品注册检验启动的原则、程序、时限等要求，由药品审评中心组织制定公布。药品注册申请受理前提出药品注册检验的具体工作程序和要求以及药品注册检验技术要求和规范，由中检院制定公布。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第五十二条</w:t>
      </w:r>
      <w:r>
        <w:rPr>
          <w:rFonts w:hint="eastAsia"/>
          <w:color w:val="333333"/>
          <w:sz w:val="32"/>
          <w:szCs w:val="32"/>
        </w:rPr>
        <w:t> </w:t>
      </w:r>
      <w:r>
        <w:rPr>
          <w:rFonts w:hint="eastAsia" w:ascii="仿宋" w:hAnsi="仿宋" w:eastAsia="仿宋"/>
          <w:color w:val="333333"/>
          <w:sz w:val="32"/>
          <w:szCs w:val="32"/>
        </w:rPr>
        <w:t>与国家药品标准收载的同品种药品使用的检验项目和检验方法一致的，可以不进行标准复核，只进行样品检验。其他情形应当进行标准复核和样品检验。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第五十三条</w:t>
      </w:r>
      <w:r>
        <w:rPr>
          <w:rFonts w:hint="eastAsia"/>
          <w:color w:val="333333"/>
          <w:sz w:val="32"/>
          <w:szCs w:val="32"/>
        </w:rPr>
        <w:t> </w:t>
      </w:r>
      <w:r>
        <w:rPr>
          <w:rFonts w:hint="eastAsia" w:ascii="仿宋" w:hAnsi="仿宋" w:eastAsia="仿宋"/>
          <w:color w:val="333333"/>
          <w:sz w:val="32"/>
          <w:szCs w:val="32"/>
        </w:rPr>
        <w:t>中检院或者经国家药品监督管理局指定的药品检验机构承担以下药品注册检验：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（一）创新药；</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（二）改良型新药（中药除外）；</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（三）生物制品、放射性药品和按照药品管理的体外诊断试剂；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（四）国家药品监督管理局规定的其他药品。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境外生产药品的药品注册检验由中检院组织口岸药品检验机构实施。</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其他药品的注册检验，由申请人或者生产企业所在地省级药品检验机构承担。</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第五十四条</w:t>
      </w:r>
      <w:r>
        <w:rPr>
          <w:rFonts w:hint="eastAsia"/>
          <w:color w:val="333333"/>
          <w:sz w:val="32"/>
          <w:szCs w:val="32"/>
        </w:rPr>
        <w:t> </w:t>
      </w:r>
      <w:r>
        <w:rPr>
          <w:rFonts w:hint="eastAsia" w:ascii="仿宋" w:hAnsi="仿宋" w:eastAsia="仿宋"/>
          <w:color w:val="333333"/>
          <w:sz w:val="32"/>
          <w:szCs w:val="32"/>
        </w:rPr>
        <w:t>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原则上申请人在药品注册申请受理前只能提出一次药品注册检验，不得同时向多个药品检验机构提出药品注册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申请人提交的药品注册检验资料应当与药品注册申报资料的相应内容一致，不得在药品注册检验过程中变更药品检验机构、样品和资料等。</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第五十五条</w:t>
      </w:r>
      <w:r>
        <w:rPr>
          <w:rFonts w:hint="eastAsia"/>
          <w:color w:val="333333"/>
          <w:sz w:val="32"/>
          <w:szCs w:val="32"/>
        </w:rPr>
        <w:t> </w:t>
      </w:r>
      <w:r>
        <w:rPr>
          <w:rFonts w:hint="eastAsia" w:ascii="仿宋" w:hAnsi="仿宋" w:eastAsia="仿宋"/>
          <w:color w:val="333333"/>
          <w:sz w:val="32"/>
          <w:szCs w:val="32"/>
        </w:rPr>
        <w:t>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境外生产药品的注册申请，申请人在药品注册申请受理前提出药品注册检验的，申请人应当按规定要求抽取样品，并将样品、检验所需资料及标准物质等送至中检院。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第五十六条</w:t>
      </w:r>
      <w:r>
        <w:rPr>
          <w:rFonts w:hint="eastAsia"/>
          <w:color w:val="333333"/>
          <w:sz w:val="32"/>
          <w:szCs w:val="32"/>
        </w:rPr>
        <w:t> </w:t>
      </w:r>
      <w:r>
        <w:rPr>
          <w:rFonts w:hint="eastAsia" w:ascii="仿宋" w:hAnsi="仿宋" w:eastAsia="仿宋"/>
          <w:color w:val="333333"/>
          <w:sz w:val="32"/>
          <w:szCs w:val="32"/>
        </w:rPr>
        <w:t>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境外生产药品的注册申请，药品注册申请受理后需要药品注册检验的，申请人应当按规定要求抽取样品，并将样品、检验所需资料及标准物质等送至中检院。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第五十七条</w:t>
      </w:r>
      <w:r>
        <w:rPr>
          <w:rFonts w:hint="eastAsia"/>
          <w:color w:val="333333"/>
          <w:sz w:val="32"/>
          <w:szCs w:val="32"/>
        </w:rPr>
        <w:t> </w:t>
      </w:r>
      <w:r>
        <w:rPr>
          <w:rFonts w:hint="eastAsia" w:ascii="仿宋" w:hAnsi="仿宋" w:eastAsia="仿宋"/>
          <w:color w:val="333333"/>
          <w:sz w:val="32"/>
          <w:szCs w:val="32"/>
        </w:rPr>
        <w:t>药品检验机构应当在五日内对申请人提交的检验用样品及资料等进行审核，作出是否接收的决定，同时告知药品审评中心。需要补正的，应当一次性告知申请人。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药品检验机构原则上应当在审评时限届满四十日前，将标准复核意见和检验报告反馈至药品审评中心。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第五十八条</w:t>
      </w:r>
      <w:r>
        <w:rPr>
          <w:rFonts w:hint="eastAsia"/>
          <w:color w:val="333333"/>
          <w:sz w:val="32"/>
          <w:szCs w:val="32"/>
        </w:rPr>
        <w:t> </w:t>
      </w:r>
      <w:r>
        <w:rPr>
          <w:rFonts w:hint="eastAsia" w:ascii="仿宋" w:hAnsi="仿宋" w:eastAsia="仿宋"/>
          <w:color w:val="333333"/>
          <w:sz w:val="32"/>
          <w:szCs w:val="32"/>
        </w:rPr>
        <w:t>在药品审评、核查过程中，发现申报资料真实性存疑或者有明确线索举报，或者认为有必要进行样品检验的，可抽取样品进行样品检验。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审评过程中，药品审评中心可以基于风险提出质量标准单项复核。</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第四章 药品加快上市注册程序</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第一节 突破性治疗药物程序</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第五十九条</w:t>
      </w:r>
      <w:r>
        <w:rPr>
          <w:rFonts w:hint="eastAsia"/>
          <w:color w:val="333333"/>
          <w:sz w:val="32"/>
          <w:szCs w:val="32"/>
        </w:rPr>
        <w:t> </w:t>
      </w:r>
      <w:r>
        <w:rPr>
          <w:rFonts w:hint="eastAsia" w:ascii="仿宋" w:hAnsi="仿宋" w:eastAsia="仿宋"/>
          <w:color w:val="333333"/>
          <w:sz w:val="32"/>
          <w:szCs w:val="32"/>
        </w:rPr>
        <w:t>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第六十条</w:t>
      </w:r>
      <w:r>
        <w:rPr>
          <w:rFonts w:hint="eastAsia"/>
          <w:color w:val="333333"/>
          <w:sz w:val="32"/>
          <w:szCs w:val="32"/>
        </w:rPr>
        <w:t> </w:t>
      </w:r>
      <w:r>
        <w:rPr>
          <w:rFonts w:hint="eastAsia" w:ascii="仿宋" w:hAnsi="仿宋" w:eastAsia="仿宋"/>
          <w:color w:val="333333"/>
          <w:sz w:val="32"/>
          <w:szCs w:val="32"/>
        </w:rPr>
        <w:t>申请适用突破性治疗药物程序的，申请人应当向药品审评中心提出申请。符合条件的，药品审评中心按照程序公示后纳入突破性治疗药物程序。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第六十一条</w:t>
      </w:r>
      <w:r>
        <w:rPr>
          <w:rFonts w:hint="eastAsia"/>
          <w:color w:val="333333"/>
          <w:sz w:val="32"/>
          <w:szCs w:val="32"/>
        </w:rPr>
        <w:t> </w:t>
      </w:r>
      <w:r>
        <w:rPr>
          <w:rFonts w:hint="eastAsia" w:ascii="仿宋" w:hAnsi="仿宋" w:eastAsia="仿宋"/>
          <w:color w:val="333333"/>
          <w:sz w:val="32"/>
          <w:szCs w:val="32"/>
        </w:rPr>
        <w:t>对纳入突破性治疗药物程序的药物临床试验，给予以下政策支持：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（一）申请人可以在药物临床试验的关键阶段向药品审评中心提出沟通交流申请，药品审评中心安排审评人员进行沟通交流；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（二）申请人可以将阶段性研究资料提交药品审评中心，药品审评中心基于已有研究资料，对下一步研究方案提出意见或者建议，并反馈给申请人。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第六十二条</w:t>
      </w:r>
      <w:r>
        <w:rPr>
          <w:rFonts w:hint="eastAsia"/>
          <w:color w:val="333333"/>
          <w:sz w:val="32"/>
          <w:szCs w:val="32"/>
        </w:rPr>
        <w:t> </w:t>
      </w:r>
      <w:r>
        <w:rPr>
          <w:rFonts w:hint="eastAsia" w:ascii="仿宋" w:hAnsi="仿宋" w:eastAsia="仿宋"/>
          <w:color w:val="333333"/>
          <w:sz w:val="32"/>
          <w:szCs w:val="32"/>
        </w:rPr>
        <w:t>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第二节 附条 件批准程序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第六十三条</w:t>
      </w:r>
      <w:r>
        <w:rPr>
          <w:rFonts w:hint="eastAsia"/>
          <w:color w:val="333333"/>
          <w:sz w:val="32"/>
          <w:szCs w:val="32"/>
        </w:rPr>
        <w:t> </w:t>
      </w:r>
      <w:r>
        <w:rPr>
          <w:rFonts w:hint="eastAsia" w:ascii="仿宋" w:hAnsi="仿宋" w:eastAsia="仿宋"/>
          <w:color w:val="333333"/>
          <w:sz w:val="32"/>
          <w:szCs w:val="32"/>
        </w:rPr>
        <w:t>药物临床试验期间，符合以下情形的药品，可以申请附条件批准：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（一）治疗严重危及生命且尚无有效治疗手段的疾病的药品，药物临床试验已有数据证实疗效并能预测其临床价值的；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（二）公共卫生方面急需的药品，药物临床试验已有数据显示疗效并能预测其临床价值的；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（三）应对重大突发公共卫生事件急需的疫苗或者国家卫生健康委员会认定急需的其他疫苗，经评估获益大于风险的。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第六十四条</w:t>
      </w:r>
      <w:r>
        <w:rPr>
          <w:rFonts w:hint="eastAsia"/>
          <w:color w:val="333333"/>
          <w:sz w:val="32"/>
          <w:szCs w:val="32"/>
        </w:rPr>
        <w:t> </w:t>
      </w:r>
      <w:r>
        <w:rPr>
          <w:rFonts w:hint="eastAsia" w:ascii="仿宋" w:hAnsi="仿宋" w:eastAsia="仿宋"/>
          <w:color w:val="333333"/>
          <w:sz w:val="32"/>
          <w:szCs w:val="32"/>
        </w:rPr>
        <w:t>申请附条件批准的，申请人应当就附条件批准上市的条件和上市后继续完成的研究工作等与药品审评中心沟通交流，经沟通交流确认后提出药品上市许可申请。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经审评，符合附条件批准要求的，在药品注册证书中载明附条件批准药品注册证书的有效期、上市后需要继续完成的研究工作及完成时限等相关事项。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第六十五条</w:t>
      </w:r>
      <w:r>
        <w:rPr>
          <w:rFonts w:hint="eastAsia"/>
          <w:color w:val="333333"/>
          <w:sz w:val="32"/>
          <w:szCs w:val="32"/>
        </w:rPr>
        <w:t> </w:t>
      </w:r>
      <w:r>
        <w:rPr>
          <w:rFonts w:hint="eastAsia" w:ascii="仿宋" w:hAnsi="仿宋" w:eastAsia="仿宋"/>
          <w:color w:val="333333"/>
          <w:sz w:val="32"/>
          <w:szCs w:val="32"/>
        </w:rPr>
        <w:t>审评过程中，发现纳入附条件批准程序的药品注册申请不能满足附条件批准条件的，药品审评中心应当终止该品种附条件批准程序，并告知申请人按照正常程序研究申报。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第六十六条</w:t>
      </w:r>
      <w:r>
        <w:rPr>
          <w:rFonts w:hint="eastAsia"/>
          <w:color w:val="333333"/>
          <w:sz w:val="32"/>
          <w:szCs w:val="32"/>
        </w:rPr>
        <w:t> </w:t>
      </w:r>
      <w:r>
        <w:rPr>
          <w:rFonts w:hint="eastAsia" w:ascii="仿宋" w:hAnsi="仿宋" w:eastAsia="仿宋"/>
          <w:color w:val="333333"/>
          <w:sz w:val="32"/>
          <w:szCs w:val="32"/>
        </w:rPr>
        <w:t>对附条件批准的药品，持有人应当在药品上市后采取相应的风险管理措施，并在规定期限内按照要求完成药物临床试验等相关研究，以补充申请方式申报。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对批准疫苗注册申请时提出进一步研究要求的，疫苗持有人应当在规定期限内完成研究。</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第六十七条</w:t>
      </w:r>
      <w:r>
        <w:rPr>
          <w:rFonts w:hint="eastAsia"/>
          <w:color w:val="333333"/>
          <w:sz w:val="32"/>
          <w:szCs w:val="32"/>
        </w:rPr>
        <w:t> </w:t>
      </w:r>
      <w:r>
        <w:rPr>
          <w:rFonts w:hint="eastAsia" w:ascii="仿宋" w:hAnsi="仿宋" w:eastAsia="仿宋"/>
          <w:color w:val="333333"/>
          <w:sz w:val="32"/>
          <w:szCs w:val="32"/>
        </w:rPr>
        <w:t>对附条件批准的药品，持有人逾期未按照要求完成研究或者不能证明其获益大于风险的，国家药品监督管理局应当依法处理，直至注销药品注册证书。</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第三节 优先审评审批程序</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第六十八条</w:t>
      </w:r>
      <w:r>
        <w:rPr>
          <w:rFonts w:hint="eastAsia"/>
          <w:color w:val="333333"/>
          <w:sz w:val="32"/>
          <w:szCs w:val="32"/>
        </w:rPr>
        <w:t> </w:t>
      </w:r>
      <w:r>
        <w:rPr>
          <w:rFonts w:hint="eastAsia" w:ascii="仿宋" w:hAnsi="仿宋" w:eastAsia="仿宋"/>
          <w:color w:val="333333"/>
          <w:sz w:val="32"/>
          <w:szCs w:val="32"/>
        </w:rPr>
        <w:t>药品上市许可申请时，以下具有明显临床价值的药品，可以申请适用优先审评审批程序：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（一）临床急需的短缺药品、防治重大传染病和罕见病等疾病的创新药和改良型新药；</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（二）符合儿童生理特征的儿童用药品新品种、剂型和规格；</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（三）疾病预防、控制急需的疫苗和创新疫苗；</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（四）纳入突破性治疗药物程序的药品；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（五）符合附条件批准的药品；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（六）国家药品监督管理局规定其他优先审评审批的情形。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第六十九条</w:t>
      </w:r>
      <w:r>
        <w:rPr>
          <w:rFonts w:hint="eastAsia"/>
          <w:color w:val="333333"/>
          <w:sz w:val="32"/>
          <w:szCs w:val="32"/>
        </w:rPr>
        <w:t> </w:t>
      </w:r>
      <w:r>
        <w:rPr>
          <w:rFonts w:hint="eastAsia" w:ascii="仿宋" w:hAnsi="仿宋" w:eastAsia="仿宋"/>
          <w:color w:val="333333"/>
          <w:sz w:val="32"/>
          <w:szCs w:val="32"/>
        </w:rPr>
        <w:t>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第七十条</w:t>
      </w:r>
      <w:r>
        <w:rPr>
          <w:rFonts w:hint="eastAsia"/>
          <w:color w:val="333333"/>
          <w:sz w:val="32"/>
          <w:szCs w:val="32"/>
        </w:rPr>
        <w:t> </w:t>
      </w:r>
      <w:r>
        <w:rPr>
          <w:rFonts w:hint="eastAsia" w:ascii="仿宋" w:hAnsi="仿宋" w:eastAsia="仿宋"/>
          <w:color w:val="333333"/>
          <w:sz w:val="32"/>
          <w:szCs w:val="32"/>
        </w:rPr>
        <w:t>对纳入优先审评审批程序的药品上市许可申请，给予以下政策支持：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（一）药品上市许可申请的审评时限为一百三十日；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（二）临床急需的境外已上市境内未上市的罕见病药品，审评时限为七十日；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（三）需要核查、检验和核准药品通用名称的，予以优先安排；</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（四）经沟通交流确认后，可以补充提交技术资料。</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第七十一条</w:t>
      </w:r>
      <w:r>
        <w:rPr>
          <w:rFonts w:hint="eastAsia"/>
          <w:color w:val="333333"/>
          <w:sz w:val="32"/>
          <w:szCs w:val="32"/>
        </w:rPr>
        <w:t> </w:t>
      </w:r>
      <w:r>
        <w:rPr>
          <w:rFonts w:hint="eastAsia" w:ascii="仿宋" w:hAnsi="仿宋" w:eastAsia="仿宋"/>
          <w:color w:val="333333"/>
          <w:sz w:val="32"/>
          <w:szCs w:val="32"/>
        </w:rPr>
        <w:t>审评过程中，发现纳入优先审评审批程序的药品注册申请不能满足优先审评审批条件的，药品审评中心应当终止该品种优先审评审批程序，按照正常审评程序审评，并告知申请人。</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第四节 特别审批程序</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第七十二条</w:t>
      </w:r>
      <w:r>
        <w:rPr>
          <w:rFonts w:hint="eastAsia"/>
          <w:color w:val="333333"/>
          <w:sz w:val="32"/>
          <w:szCs w:val="32"/>
        </w:rPr>
        <w:t> </w:t>
      </w:r>
      <w:r>
        <w:rPr>
          <w:rFonts w:hint="eastAsia" w:ascii="仿宋" w:hAnsi="仿宋" w:eastAsia="仿宋"/>
          <w:color w:val="333333"/>
          <w:sz w:val="32"/>
          <w:szCs w:val="32"/>
        </w:rPr>
        <w:t>在发生突发公共卫生事件的威胁时以及突发公共卫生事件发生后，国家药品监督管理局可以依法决定对突发公共卫生事件应急所需防治药品实行特别审批。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第七十三条</w:t>
      </w:r>
      <w:r>
        <w:rPr>
          <w:rFonts w:hint="eastAsia"/>
          <w:color w:val="333333"/>
          <w:sz w:val="32"/>
          <w:szCs w:val="32"/>
        </w:rPr>
        <w:t> </w:t>
      </w:r>
      <w:r>
        <w:rPr>
          <w:rFonts w:hint="eastAsia" w:ascii="仿宋" w:hAnsi="仿宋" w:eastAsia="仿宋"/>
          <w:color w:val="333333"/>
          <w:sz w:val="32"/>
          <w:szCs w:val="32"/>
        </w:rPr>
        <w:t>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第七十四条</w:t>
      </w:r>
      <w:r>
        <w:rPr>
          <w:rFonts w:hint="eastAsia"/>
          <w:color w:val="333333"/>
          <w:sz w:val="32"/>
          <w:szCs w:val="32"/>
        </w:rPr>
        <w:t> </w:t>
      </w:r>
      <w:r>
        <w:rPr>
          <w:rFonts w:hint="eastAsia" w:ascii="仿宋" w:hAnsi="仿宋" w:eastAsia="仿宋"/>
          <w:color w:val="333333"/>
          <w:sz w:val="32"/>
          <w:szCs w:val="32"/>
        </w:rPr>
        <w:t>对纳入特别审批程序的药品，可以根据疾病防控的特定需要，限定其在一定期限和范围内使用。</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第七十五条</w:t>
      </w:r>
      <w:r>
        <w:rPr>
          <w:rFonts w:hint="eastAsia"/>
          <w:color w:val="333333"/>
          <w:sz w:val="32"/>
          <w:szCs w:val="32"/>
        </w:rPr>
        <w:t> </w:t>
      </w:r>
      <w:r>
        <w:rPr>
          <w:rFonts w:hint="eastAsia" w:ascii="仿宋" w:hAnsi="仿宋" w:eastAsia="仿宋"/>
          <w:color w:val="333333"/>
          <w:sz w:val="32"/>
          <w:szCs w:val="32"/>
        </w:rPr>
        <w:t>对纳入特别审批程序的药品，发现其不再符合纳入条件的，应当终止该药品的特别审批程序，并告知申请人。</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第五章 药品上市后变更和再注册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第一节 药品上市后研究和变更</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第七十六条</w:t>
      </w:r>
      <w:r>
        <w:rPr>
          <w:rFonts w:hint="eastAsia"/>
          <w:color w:val="333333"/>
          <w:sz w:val="32"/>
          <w:szCs w:val="32"/>
        </w:rPr>
        <w:t> </w:t>
      </w:r>
      <w:r>
        <w:rPr>
          <w:rFonts w:hint="eastAsia" w:ascii="仿宋" w:hAnsi="仿宋" w:eastAsia="仿宋"/>
          <w:color w:val="333333"/>
          <w:sz w:val="32"/>
          <w:szCs w:val="32"/>
        </w:rPr>
        <w:t>持有人应当主动开展药品上市后研究，对药品的安全性、有效性和质量可控性进行进一步确证，加强对已上市药品的持续管理。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药品注册证书及附件要求持有人在药品上市后开展相关研究工作的，持有人应当在规定时限内完成并按照要求提出补充申请、备案或者报告。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第七十七条</w:t>
      </w:r>
      <w:r>
        <w:rPr>
          <w:rFonts w:hint="eastAsia"/>
          <w:color w:val="333333"/>
          <w:sz w:val="32"/>
          <w:szCs w:val="32"/>
        </w:rPr>
        <w:t> </w:t>
      </w:r>
      <w:r>
        <w:rPr>
          <w:rFonts w:hint="eastAsia" w:ascii="仿宋" w:hAnsi="仿宋" w:eastAsia="仿宋"/>
          <w:color w:val="333333"/>
          <w:sz w:val="32"/>
          <w:szCs w:val="32"/>
        </w:rPr>
        <w:t>药品上市后的变更，按照其对药品安全性、有效性和质量可控性的风险和产生影响的程度，实行分类管理，分为审批类变更、备案类变更和报告类变更。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持有人应当按照相关规定，参照相关技术指导原则，全面评估、验证变更事项对药品安全性、有效性和质量可控性的影响，进行相应的研究工作。</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药品上市后变更研究的技术指导原则，由药品审评中心制定，并向社会公布。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第七十八条</w:t>
      </w:r>
      <w:r>
        <w:rPr>
          <w:rFonts w:hint="eastAsia"/>
          <w:color w:val="333333"/>
          <w:sz w:val="32"/>
          <w:szCs w:val="32"/>
        </w:rPr>
        <w:t> </w:t>
      </w:r>
      <w:r>
        <w:rPr>
          <w:rFonts w:hint="eastAsia" w:ascii="仿宋" w:hAnsi="仿宋" w:eastAsia="仿宋"/>
          <w:color w:val="333333"/>
          <w:sz w:val="32"/>
          <w:szCs w:val="32"/>
        </w:rPr>
        <w:t>以下变更，持有人应当以补充申请方式申报，经批准后实施：</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（一）药品生产过程中的重大变更；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（二）药品说明书中涉及有效性内容以及增加安全性风险的其他内容的变更；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（三）持有人转让药品上市许可；</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（四）国家药品监督管理局规定需要审批的其他变更。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第七十九条</w:t>
      </w:r>
      <w:r>
        <w:rPr>
          <w:rFonts w:hint="eastAsia"/>
          <w:color w:val="333333"/>
          <w:sz w:val="32"/>
          <w:szCs w:val="32"/>
        </w:rPr>
        <w:t> </w:t>
      </w:r>
      <w:r>
        <w:rPr>
          <w:rFonts w:hint="eastAsia" w:ascii="仿宋" w:hAnsi="仿宋" w:eastAsia="仿宋"/>
          <w:color w:val="333333"/>
          <w:sz w:val="32"/>
          <w:szCs w:val="32"/>
        </w:rPr>
        <w:t>以下变更，持有人应当在变更实施前，报所在地省、自治区、直辖市药品监督管理部门备案：</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（一）药品生产过程中的中等变更；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（二）药品包装标签内容的变更；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（三）药品分包装；</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（四）国家药品监督管理局规定需要备案的其他变更。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境外生产药品发生上述变更的，应当在变更实施前报药品审评中心备案。</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药品分包装备案的程序和要求，由药品审评中心制定发布。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第八十条</w:t>
      </w:r>
      <w:r>
        <w:rPr>
          <w:rFonts w:hint="eastAsia"/>
          <w:color w:val="333333"/>
          <w:sz w:val="32"/>
          <w:szCs w:val="32"/>
        </w:rPr>
        <w:t> </w:t>
      </w:r>
      <w:r>
        <w:rPr>
          <w:rFonts w:hint="eastAsia" w:ascii="仿宋" w:hAnsi="仿宋" w:eastAsia="仿宋"/>
          <w:color w:val="333333"/>
          <w:sz w:val="32"/>
          <w:szCs w:val="32"/>
        </w:rPr>
        <w:t>以下变更，持有人应当在年度报告中报告：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（一）药品生产过程中的微小变更；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（二）国家药品监督管理局规定需要报告的其他变更。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第八十一条</w:t>
      </w:r>
      <w:r>
        <w:rPr>
          <w:rFonts w:hint="eastAsia"/>
          <w:color w:val="333333"/>
          <w:sz w:val="32"/>
          <w:szCs w:val="32"/>
        </w:rPr>
        <w:t> </w:t>
      </w:r>
      <w:r>
        <w:rPr>
          <w:rFonts w:hint="eastAsia" w:ascii="仿宋" w:hAnsi="仿宋" w:eastAsia="仿宋"/>
          <w:color w:val="333333"/>
          <w:sz w:val="32"/>
          <w:szCs w:val="32"/>
        </w:rPr>
        <w:t>药品上市后提出的补充申请，需要核查、检验的，参照本办法有关药品注册核查、检验程序进行。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第二节 药品再注册</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第八十二条</w:t>
      </w:r>
      <w:r>
        <w:rPr>
          <w:rFonts w:hint="eastAsia"/>
          <w:color w:val="333333"/>
          <w:sz w:val="32"/>
          <w:szCs w:val="32"/>
        </w:rPr>
        <w:t> </w:t>
      </w:r>
      <w:r>
        <w:rPr>
          <w:rFonts w:hint="eastAsia" w:ascii="仿宋" w:hAnsi="仿宋" w:eastAsia="仿宋"/>
          <w:color w:val="333333"/>
          <w:sz w:val="32"/>
          <w:szCs w:val="32"/>
        </w:rPr>
        <w:t>持有人应当在药品注册证书有效期届满前六个月申请再注册。境内生产药品再注册申请由持有人向其所在地省、自治区、直辖市药品监督管理部门提出，境外生产药品再注册申请由持有人向药品审评中心提出。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第八十三条</w:t>
      </w:r>
      <w:r>
        <w:rPr>
          <w:rFonts w:hint="eastAsia"/>
          <w:color w:val="333333"/>
          <w:sz w:val="32"/>
          <w:szCs w:val="32"/>
        </w:rPr>
        <w:t> </w:t>
      </w:r>
      <w:r>
        <w:rPr>
          <w:rFonts w:hint="eastAsia" w:ascii="仿宋" w:hAnsi="仿宋" w:eastAsia="仿宋"/>
          <w:color w:val="333333"/>
          <w:sz w:val="32"/>
          <w:szCs w:val="32"/>
        </w:rPr>
        <w:t>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第八十四条</w:t>
      </w:r>
      <w:r>
        <w:rPr>
          <w:rFonts w:hint="eastAsia"/>
          <w:color w:val="333333"/>
          <w:sz w:val="32"/>
          <w:szCs w:val="32"/>
        </w:rPr>
        <w:t> </w:t>
      </w:r>
      <w:r>
        <w:rPr>
          <w:rFonts w:hint="eastAsia" w:ascii="仿宋" w:hAnsi="仿宋" w:eastAsia="仿宋"/>
          <w:color w:val="333333"/>
          <w:sz w:val="32"/>
          <w:szCs w:val="32"/>
        </w:rPr>
        <w:t>有下列情形之一的，不予再注册：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（一）有效期届满未提出再注册申请的；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（二）药品注册证书有效期内持有人不能履行持续考察药品质量、疗效和不良反应责任的；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（三）未在规定时限内完成药品批准证明文件和药品监督管理部门要求的研究工作且无合理理由的；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（四）经上市后评价，属于疗效不确切、不良反应大或者因其他原因危害人体健康的；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（五）法律、行政法规规定的其他不予再注册情形。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对不予再注册的药品，药品注册证书有效期届满时予以注销。</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第六章 受理、撤回申请、审批决定和争议解决</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第八十五条</w:t>
      </w:r>
      <w:r>
        <w:rPr>
          <w:rFonts w:hint="eastAsia"/>
          <w:color w:val="333333"/>
          <w:sz w:val="32"/>
          <w:szCs w:val="32"/>
        </w:rPr>
        <w:t> </w:t>
      </w:r>
      <w:r>
        <w:rPr>
          <w:rFonts w:hint="eastAsia" w:ascii="仿宋" w:hAnsi="仿宋" w:eastAsia="仿宋"/>
          <w:color w:val="333333"/>
          <w:sz w:val="32"/>
          <w:szCs w:val="32"/>
        </w:rPr>
        <w:t>药品监督管理部门收到药品注册申请后进行形式审查，并根据下列情况分别作出是否受理的决定：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（一）申请事项依法不需要取得行政许可的，应当即时作出不予受理的决定，并说明理由。</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（二）申请事项依法不属于本部门职权范围的，应当即时作出不予受理的决定，并告知申请人向有关行政机关申请。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（三）申报资料存在可以当场更正的错误的，应当允许申请人当场更正；更正后申请材料齐全、符合法定形式的，应当予以受理。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（五）申请事项属于本部门职权范围，申报资料齐全、符合法定形式，或者申请人按照要求提交全部补正资料的，应当受理药品注册申请。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药品注册申请受理后，需要申请人缴纳费用的，申请人应当按规定缴纳费用。申请人未在规定期限内缴纳费用的，终止药品注册审评审批。</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第八十六条</w:t>
      </w:r>
      <w:r>
        <w:rPr>
          <w:rFonts w:hint="eastAsia"/>
          <w:color w:val="333333"/>
          <w:sz w:val="32"/>
          <w:szCs w:val="32"/>
        </w:rPr>
        <w:t> </w:t>
      </w:r>
      <w:r>
        <w:rPr>
          <w:rFonts w:hint="eastAsia" w:ascii="仿宋" w:hAnsi="仿宋" w:eastAsia="仿宋"/>
          <w:color w:val="333333"/>
          <w:sz w:val="32"/>
          <w:szCs w:val="32"/>
        </w:rPr>
        <w:t>药品注册申请受理后，有药品安全性新发现的，申请人应当及时报告并补充相关资料。</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第八十七条</w:t>
      </w:r>
      <w:r>
        <w:rPr>
          <w:rFonts w:hint="eastAsia"/>
          <w:color w:val="333333"/>
          <w:sz w:val="32"/>
          <w:szCs w:val="32"/>
        </w:rPr>
        <w:t> </w:t>
      </w:r>
      <w:r>
        <w:rPr>
          <w:rFonts w:hint="eastAsia" w:ascii="仿宋" w:hAnsi="仿宋" w:eastAsia="仿宋"/>
          <w:color w:val="333333"/>
          <w:sz w:val="32"/>
          <w:szCs w:val="32"/>
        </w:rPr>
        <w:t>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不需要申请人补充新的技术资料，仅需要申请人对原申报资料进行解释说明的，药品审评中心通知申请人在五日内按照要求提交相关解释说明。</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药品审评中心认为存在实质性缺陷无法补正的，不再要求申请人补充资料。基于已有申报资料做出不予批准的决定。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第八十八条</w:t>
      </w:r>
      <w:r>
        <w:rPr>
          <w:rFonts w:hint="eastAsia"/>
          <w:color w:val="333333"/>
          <w:sz w:val="32"/>
          <w:szCs w:val="32"/>
        </w:rPr>
        <w:t> </w:t>
      </w:r>
      <w:r>
        <w:rPr>
          <w:rFonts w:hint="eastAsia" w:ascii="仿宋" w:hAnsi="仿宋" w:eastAsia="仿宋"/>
          <w:color w:val="333333"/>
          <w:sz w:val="32"/>
          <w:szCs w:val="32"/>
        </w:rPr>
        <w:t>药物临床试验申请、药物临床试验期间的补充申请，在审评期间，不得补充新的技术资料；如需要开展新的研究，申请人可以在撤回后重新提出申请。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第八十九条</w:t>
      </w:r>
      <w:r>
        <w:rPr>
          <w:rFonts w:hint="eastAsia"/>
          <w:color w:val="333333"/>
          <w:sz w:val="32"/>
          <w:szCs w:val="32"/>
        </w:rPr>
        <w:t> </w:t>
      </w:r>
      <w:r>
        <w:rPr>
          <w:rFonts w:hint="eastAsia" w:ascii="仿宋" w:hAnsi="仿宋" w:eastAsia="仿宋"/>
          <w:color w:val="333333"/>
          <w:sz w:val="32"/>
          <w:szCs w:val="32"/>
        </w:rPr>
        <w:t>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第九十条</w:t>
      </w:r>
      <w:r>
        <w:rPr>
          <w:rFonts w:hint="eastAsia"/>
          <w:color w:val="333333"/>
          <w:sz w:val="32"/>
          <w:szCs w:val="32"/>
        </w:rPr>
        <w:t> </w:t>
      </w:r>
      <w:r>
        <w:rPr>
          <w:rFonts w:hint="eastAsia" w:ascii="仿宋" w:hAnsi="仿宋" w:eastAsia="仿宋"/>
          <w:color w:val="333333"/>
          <w:sz w:val="32"/>
          <w:szCs w:val="32"/>
        </w:rPr>
        <w:t>药品注册期间，对于审评结论为不通过的，药品审评中心应当告知申请人不通过的理由，申请人可以在十五日内向药品审评中心提出异议。药品审评中心结合申请人的异议意见进行综合评估并反馈申请人。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申请人对综合评估结果仍有异议的，药品审评中心应当按照规定，在五十日内组织专家咨询委员会论证，并综合专家论证结果形成最终的审评结论。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申请人异议和专家论证时间不计入审评时限。</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第九十一条</w:t>
      </w:r>
      <w:r>
        <w:rPr>
          <w:rFonts w:hint="eastAsia"/>
          <w:color w:val="333333"/>
          <w:sz w:val="32"/>
          <w:szCs w:val="32"/>
        </w:rPr>
        <w:t> </w:t>
      </w:r>
      <w:r>
        <w:rPr>
          <w:rFonts w:hint="eastAsia" w:ascii="仿宋" w:hAnsi="仿宋" w:eastAsia="仿宋"/>
          <w:color w:val="333333"/>
          <w:sz w:val="32"/>
          <w:szCs w:val="32"/>
        </w:rPr>
        <w:t>药品注册期间，申请人认为工作人员在药品注册受理、审评、核查、检验、审批等工作中违反规定或者有不规范行为的，可以向其所在单位或者上级机关投诉举报。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第九十二条</w:t>
      </w:r>
      <w:r>
        <w:rPr>
          <w:rFonts w:hint="eastAsia"/>
          <w:color w:val="333333"/>
          <w:sz w:val="32"/>
          <w:szCs w:val="32"/>
        </w:rPr>
        <w:t> </w:t>
      </w:r>
      <w:r>
        <w:rPr>
          <w:rFonts w:hint="eastAsia" w:ascii="仿宋" w:hAnsi="仿宋" w:eastAsia="仿宋"/>
          <w:color w:val="333333"/>
          <w:sz w:val="32"/>
          <w:szCs w:val="32"/>
        </w:rPr>
        <w:t>药品注册申请符合法定要求的，予以批准。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药品注册申请有下列情形之一的，不予批准：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（一）药物临床试验申请的研究资料不足以支持开展药物临床试验或者不能保障受试者安全的；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（二）申报资料显示其申请药品安全性、有效性、质量可控性等存在较大缺陷的；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（三）申报资料不能证明药品安全性、有效性、质量可控性，或者经评估认为药品风险大于获益的；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（四）申请人未能在规定时限内补充资料的；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（五）申请人拒绝接受或者无正当理由未在规定时限内接受药品注册核查、检验的；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（六）药品注册过程中认为申报资料不真实，申请人不能证明其真实性的；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（七）药品注册现场核查或者样品检验结果不符合规定的；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（八）法律法规规定的不应当批准的其他情形。</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第九十三条</w:t>
      </w:r>
      <w:r>
        <w:rPr>
          <w:rFonts w:hint="eastAsia"/>
          <w:color w:val="333333"/>
          <w:sz w:val="32"/>
          <w:szCs w:val="32"/>
        </w:rPr>
        <w:t> </w:t>
      </w:r>
      <w:r>
        <w:rPr>
          <w:rFonts w:hint="eastAsia" w:ascii="仿宋" w:hAnsi="仿宋" w:eastAsia="仿宋"/>
          <w:color w:val="333333"/>
          <w:sz w:val="32"/>
          <w:szCs w:val="32"/>
        </w:rPr>
        <w:t>药品注册申请审批结束后，申请人对行政许可决定有异议的，可以依法提起行政复议或者行政诉讼。</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第七章 工作时限</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第九十四条</w:t>
      </w:r>
      <w:r>
        <w:rPr>
          <w:rFonts w:hint="eastAsia"/>
          <w:color w:val="333333"/>
          <w:sz w:val="32"/>
          <w:szCs w:val="32"/>
        </w:rPr>
        <w:t> </w:t>
      </w:r>
      <w:r>
        <w:rPr>
          <w:rFonts w:hint="eastAsia" w:ascii="仿宋" w:hAnsi="仿宋" w:eastAsia="仿宋"/>
          <w:color w:val="333333"/>
          <w:sz w:val="32"/>
          <w:szCs w:val="32"/>
        </w:rPr>
        <w:t>本办法所规定的时限是药品注册的受理、审评、核查、检验、审批等工作的最长时间。优先审评审批程序相关工作时限，按优先审评审批相关规定执行。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药品审评中心等专业技术机构应当明确本单位工作程序和时限，并向社会公布。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第九十五条</w:t>
      </w:r>
      <w:r>
        <w:rPr>
          <w:rFonts w:hint="eastAsia"/>
          <w:color w:val="333333"/>
          <w:sz w:val="32"/>
          <w:szCs w:val="32"/>
        </w:rPr>
        <w:t> </w:t>
      </w:r>
      <w:r>
        <w:rPr>
          <w:rFonts w:hint="eastAsia" w:ascii="仿宋" w:hAnsi="仿宋" w:eastAsia="仿宋"/>
          <w:color w:val="333333"/>
          <w:sz w:val="32"/>
          <w:szCs w:val="32"/>
        </w:rPr>
        <w:t>药品监督管理部门收到药品注册申请后进行形式审查，应当在五日内作出受理、补正或者不予受理决定。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第九十六条</w:t>
      </w:r>
      <w:r>
        <w:rPr>
          <w:rFonts w:hint="eastAsia"/>
          <w:color w:val="333333"/>
          <w:sz w:val="32"/>
          <w:szCs w:val="32"/>
        </w:rPr>
        <w:t> </w:t>
      </w:r>
      <w:r>
        <w:rPr>
          <w:rFonts w:hint="eastAsia" w:ascii="仿宋" w:hAnsi="仿宋" w:eastAsia="仿宋"/>
          <w:color w:val="333333"/>
          <w:sz w:val="32"/>
          <w:szCs w:val="32"/>
        </w:rPr>
        <w:t>药品注册审评时限，按照以下规定执行：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（一）药物临床试验申请、药物临床试验期间补充申请的审评审批时限为六十日；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（二）药品上市许可申请审评时限为二百日，其中优先审评审批程序的审评时限为一百三十日，临床急需境外已上市罕见病用药优先审评审批程序的审评时限为七十日；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（三）单独申报仿制境内已上市化学原料药的审评时限为二百日；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（四）审批类变更的补充申请审评时限为六十日，补充申请合并申报事项的，审评时限为八十日，其中涉及临床试验研究数据审查、药品注册核查检验的审评时限为二百日；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（五）药品通用名称核准时限为三十日；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（六）非处方药适宜性审核时限为三十日。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关联审评时限与其关联药品制剂的审评时限一致。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第九十七条</w:t>
      </w:r>
      <w:r>
        <w:rPr>
          <w:rFonts w:hint="eastAsia"/>
          <w:color w:val="333333"/>
          <w:sz w:val="32"/>
          <w:szCs w:val="32"/>
        </w:rPr>
        <w:t> </w:t>
      </w:r>
      <w:r>
        <w:rPr>
          <w:rFonts w:hint="eastAsia" w:ascii="仿宋" w:hAnsi="仿宋" w:eastAsia="仿宋"/>
          <w:color w:val="333333"/>
          <w:sz w:val="32"/>
          <w:szCs w:val="32"/>
        </w:rPr>
        <w:t>药品注册核查时限，按照以下规定执行：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（一）药品审评中心应当在药品注册申请受理后四十日内通知药品核查中心启动核查，并同时通知申请人；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（二）药品核查中心原则上在审评时限届满四十日前完成药品注册生产现场核查，并将核查情况、核查结果等相关材料反馈至药品审评中心。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第九十八条</w:t>
      </w:r>
      <w:r>
        <w:rPr>
          <w:rFonts w:hint="eastAsia"/>
          <w:color w:val="333333"/>
          <w:sz w:val="32"/>
          <w:szCs w:val="32"/>
        </w:rPr>
        <w:t> </w:t>
      </w:r>
      <w:r>
        <w:rPr>
          <w:rFonts w:hint="eastAsia" w:ascii="仿宋" w:hAnsi="仿宋" w:eastAsia="仿宋"/>
          <w:color w:val="333333"/>
          <w:sz w:val="32"/>
          <w:szCs w:val="32"/>
        </w:rPr>
        <w:t>药品注册检验时限，按照以下规定执行：</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（一）样品检验时限为六十日，样品检验和标准复核同时进行的时限为九十日；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（二）药品注册检验过程中补充资料时限为三十日；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（三）药品检验机构原则上在审评时限届满四十日前完成药品注册检验相关工作，并将药品标准复核意见和检验报告反馈至药品审评中心。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第九十九条</w:t>
      </w:r>
      <w:r>
        <w:rPr>
          <w:rFonts w:hint="eastAsia"/>
          <w:color w:val="333333"/>
          <w:sz w:val="32"/>
          <w:szCs w:val="32"/>
        </w:rPr>
        <w:t> </w:t>
      </w:r>
      <w:r>
        <w:rPr>
          <w:rFonts w:hint="eastAsia" w:ascii="仿宋" w:hAnsi="仿宋" w:eastAsia="仿宋"/>
          <w:color w:val="333333"/>
          <w:sz w:val="32"/>
          <w:szCs w:val="32"/>
        </w:rPr>
        <w:t>药品再注册审查审批时限为一百二十日。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第一百条</w:t>
      </w:r>
      <w:r>
        <w:rPr>
          <w:rFonts w:hint="eastAsia"/>
          <w:color w:val="333333"/>
          <w:sz w:val="32"/>
          <w:szCs w:val="32"/>
        </w:rPr>
        <w:t> </w:t>
      </w:r>
      <w:r>
        <w:rPr>
          <w:rFonts w:hint="eastAsia" w:ascii="仿宋" w:hAnsi="仿宋" w:eastAsia="仿宋"/>
          <w:color w:val="333333"/>
          <w:sz w:val="32"/>
          <w:szCs w:val="32"/>
        </w:rPr>
        <w:t>行政审批决定应当在二十日内作出。</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第一百零一条</w:t>
      </w:r>
      <w:r>
        <w:rPr>
          <w:rFonts w:hint="eastAsia"/>
          <w:color w:val="333333"/>
          <w:sz w:val="32"/>
          <w:szCs w:val="32"/>
        </w:rPr>
        <w:t> </w:t>
      </w:r>
      <w:r>
        <w:rPr>
          <w:rFonts w:hint="eastAsia" w:ascii="仿宋" w:hAnsi="仿宋" w:eastAsia="仿宋"/>
          <w:color w:val="333333"/>
          <w:sz w:val="32"/>
          <w:szCs w:val="32"/>
        </w:rPr>
        <w:t>药品监督管理部门应当自作出药品注册审批决定之日起十日内颁发、送达有关行政许可证件。</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第一百零二条</w:t>
      </w:r>
      <w:r>
        <w:rPr>
          <w:rFonts w:hint="eastAsia"/>
          <w:color w:val="333333"/>
          <w:sz w:val="32"/>
          <w:szCs w:val="32"/>
        </w:rPr>
        <w:t> </w:t>
      </w:r>
      <w:r>
        <w:rPr>
          <w:rFonts w:hint="eastAsia" w:ascii="仿宋" w:hAnsi="仿宋" w:eastAsia="仿宋"/>
          <w:color w:val="333333"/>
          <w:sz w:val="32"/>
          <w:szCs w:val="32"/>
        </w:rPr>
        <w:t>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第一百零三条</w:t>
      </w:r>
      <w:r>
        <w:rPr>
          <w:rFonts w:hint="eastAsia"/>
          <w:color w:val="333333"/>
          <w:sz w:val="32"/>
          <w:szCs w:val="32"/>
        </w:rPr>
        <w:t> </w:t>
      </w:r>
      <w:r>
        <w:rPr>
          <w:rFonts w:hint="eastAsia" w:ascii="仿宋" w:hAnsi="仿宋" w:eastAsia="仿宋"/>
          <w:color w:val="333333"/>
          <w:sz w:val="32"/>
          <w:szCs w:val="32"/>
        </w:rPr>
        <w:t>以下时间不计入相关工作时限：</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（一）申请人补充资料、核查后整改以及按要求核对生产工艺、质量标准和说明书等所占用的时间；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（二）因申请人原因延迟核查、检验、召开专家咨询会等的时间；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（三）根据法律法规的规定中止审评审批程序的，中止审评审批程序期间所占用的时间；</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（四）启动境外核查的，境外核查所占用的时间。</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第八章 监督管理</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第一百零四条</w:t>
      </w:r>
      <w:r>
        <w:rPr>
          <w:rFonts w:hint="eastAsia"/>
          <w:color w:val="333333"/>
          <w:sz w:val="32"/>
          <w:szCs w:val="32"/>
        </w:rPr>
        <w:t> </w:t>
      </w:r>
      <w:r>
        <w:rPr>
          <w:rFonts w:hint="eastAsia" w:ascii="仿宋" w:hAnsi="仿宋" w:eastAsia="仿宋"/>
          <w:color w:val="333333"/>
          <w:sz w:val="32"/>
          <w:szCs w:val="32"/>
        </w:rPr>
        <w:t>国家药品监督管理局负责对药品审评中心等相关专业技术机构及省、自治区、直辖市药品监督管理部门承担药品注册管理相关工作的监督管理、考核评价与指导。</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第一百零五条</w:t>
      </w:r>
      <w:r>
        <w:rPr>
          <w:rFonts w:hint="eastAsia"/>
          <w:color w:val="333333"/>
          <w:sz w:val="32"/>
          <w:szCs w:val="32"/>
        </w:rPr>
        <w:t> </w:t>
      </w:r>
      <w:r>
        <w:rPr>
          <w:rFonts w:hint="eastAsia" w:ascii="仿宋" w:hAnsi="仿宋" w:eastAsia="仿宋"/>
          <w:color w:val="333333"/>
          <w:sz w:val="32"/>
          <w:szCs w:val="32"/>
        </w:rPr>
        <w:t>药品监督管理部门应当依照法律、法规的规定对药品研制活动进行监督检查，必要时可以对为药品研制提供产品或者服务的单位和个人进行延伸检查，有关单位和个人应当予以配合，不得拒绝和隐瞒。</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第一百零六条</w:t>
      </w:r>
      <w:r>
        <w:rPr>
          <w:rFonts w:hint="eastAsia"/>
          <w:color w:val="333333"/>
          <w:sz w:val="32"/>
          <w:szCs w:val="32"/>
        </w:rPr>
        <w:t> </w:t>
      </w:r>
      <w:r>
        <w:rPr>
          <w:rFonts w:hint="eastAsia" w:ascii="仿宋" w:hAnsi="仿宋" w:eastAsia="仿宋"/>
          <w:color w:val="333333"/>
          <w:sz w:val="32"/>
          <w:szCs w:val="32"/>
        </w:rPr>
        <w:t>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第一百零七条</w:t>
      </w:r>
      <w:r>
        <w:rPr>
          <w:rFonts w:hint="eastAsia"/>
          <w:color w:val="333333"/>
          <w:sz w:val="32"/>
          <w:szCs w:val="32"/>
        </w:rPr>
        <w:t> </w:t>
      </w:r>
      <w:r>
        <w:rPr>
          <w:rFonts w:hint="eastAsia" w:ascii="仿宋" w:hAnsi="仿宋" w:eastAsia="仿宋"/>
          <w:color w:val="333333"/>
          <w:sz w:val="32"/>
          <w:szCs w:val="32"/>
        </w:rPr>
        <w:t>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第一百零八条</w:t>
      </w:r>
      <w:r>
        <w:rPr>
          <w:rFonts w:hint="eastAsia"/>
          <w:color w:val="333333"/>
          <w:sz w:val="32"/>
          <w:szCs w:val="32"/>
        </w:rPr>
        <w:t> </w:t>
      </w:r>
      <w:r>
        <w:rPr>
          <w:rFonts w:hint="eastAsia" w:ascii="仿宋" w:hAnsi="仿宋" w:eastAsia="仿宋"/>
          <w:color w:val="333333"/>
          <w:sz w:val="32"/>
          <w:szCs w:val="32"/>
        </w:rPr>
        <w:t>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第一百零九条</w:t>
      </w:r>
      <w:r>
        <w:rPr>
          <w:rFonts w:hint="eastAsia"/>
          <w:color w:val="333333"/>
          <w:sz w:val="32"/>
          <w:szCs w:val="32"/>
        </w:rPr>
        <w:t> </w:t>
      </w:r>
      <w:r>
        <w:rPr>
          <w:rFonts w:hint="eastAsia" w:ascii="仿宋" w:hAnsi="仿宋" w:eastAsia="仿宋"/>
          <w:color w:val="333333"/>
          <w:sz w:val="32"/>
          <w:szCs w:val="32"/>
        </w:rPr>
        <w:t>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批准上市药品的说明书应当向社会公开并及时更新。其中，疫苗还应当公开标签内容并及时更新。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第一百一十条</w:t>
      </w:r>
      <w:r>
        <w:rPr>
          <w:rFonts w:hint="eastAsia"/>
          <w:color w:val="333333"/>
          <w:sz w:val="32"/>
          <w:szCs w:val="32"/>
        </w:rPr>
        <w:t> </w:t>
      </w:r>
      <w:r>
        <w:rPr>
          <w:rFonts w:hint="eastAsia" w:ascii="仿宋" w:hAnsi="仿宋" w:eastAsia="仿宋"/>
          <w:color w:val="333333"/>
          <w:sz w:val="32"/>
          <w:szCs w:val="32"/>
        </w:rPr>
        <w:t>具有下列情形之一的，由国家药品监督管理局注销药品注册证书，并予以公布：</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（一）持有人自行提出注销药品注册证书的；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（二）按照本办法规定不予再注册的；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（三）持有人药品注册证书、药品生产许可证等行政许可被依法吊销或者撤销的；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（四）按照《药品管理法》第八十三条的规定，疗效不确切、不良反应大或者因其他原因危害人体健康的；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（五）按照《疫苗管理法》第六十一条的规定，经上市后评价，预防接种异常反应严重或者其他原因危害人体健康的；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（六）按照《疫苗管理法》第六十二条的规定，经上市后评价发现该疫苗品种的产品设计、生产工艺、安全性、有效性或者质量可控性明显劣于预防、控制同种疾病的其他疫苗品种的；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（七）违反法律、行政法规规定，未按照药品批准证明文件要求或者药品监督管理部门要求在规定时限内完成相应研究工作且无合理理由的；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（八）其他依法应当注销药品注册证书的情形。</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第九章 法律责任</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第一百一十一条</w:t>
      </w:r>
      <w:r>
        <w:rPr>
          <w:rFonts w:hint="eastAsia"/>
          <w:color w:val="333333"/>
          <w:sz w:val="32"/>
          <w:szCs w:val="32"/>
        </w:rPr>
        <w:t> </w:t>
      </w:r>
      <w:r>
        <w:rPr>
          <w:rFonts w:hint="eastAsia" w:ascii="仿宋" w:hAnsi="仿宋" w:eastAsia="仿宋"/>
          <w:color w:val="333333"/>
          <w:sz w:val="32"/>
          <w:szCs w:val="32"/>
        </w:rPr>
        <w:t>在药品注册过程中，提供虚假的证明、数据、资料、样品或者采取其他手段骗取临床试验许可或者药品注册等许可的，按照《药品管理法》第一百二十三条处理。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第一百一十二条</w:t>
      </w:r>
      <w:r>
        <w:rPr>
          <w:rFonts w:hint="eastAsia"/>
          <w:color w:val="333333"/>
          <w:sz w:val="32"/>
          <w:szCs w:val="32"/>
        </w:rPr>
        <w:t> </w:t>
      </w:r>
      <w:r>
        <w:rPr>
          <w:rFonts w:hint="eastAsia" w:ascii="仿宋" w:hAnsi="仿宋" w:eastAsia="仿宋"/>
          <w:color w:val="333333"/>
          <w:sz w:val="32"/>
          <w:szCs w:val="32"/>
        </w:rPr>
        <w:t>申请疫苗临床试验、注册提供虚假数据、资料、样品或者有其他欺骗行为的，按照《疫苗管理法》第八十一条进行处理。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第一百一十三条</w:t>
      </w:r>
      <w:r>
        <w:rPr>
          <w:rFonts w:hint="eastAsia"/>
          <w:color w:val="333333"/>
          <w:sz w:val="32"/>
          <w:szCs w:val="32"/>
        </w:rPr>
        <w:t> </w:t>
      </w:r>
      <w:r>
        <w:rPr>
          <w:rFonts w:hint="eastAsia" w:ascii="仿宋" w:hAnsi="仿宋" w:eastAsia="仿宋"/>
          <w:color w:val="333333"/>
          <w:sz w:val="32"/>
          <w:szCs w:val="32"/>
        </w:rPr>
        <w:t>在药品注册过程中，药物非临床安全性评价研究机构、药物临床试验机构等，未按照规定遵守药物非临床研究质量管理规范、药物临床试验质量管理规范等的，按照《药品管理法》第一百二十六条处理。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第一百一十四条</w:t>
      </w:r>
      <w:r>
        <w:rPr>
          <w:rFonts w:hint="eastAsia"/>
          <w:color w:val="333333"/>
          <w:sz w:val="32"/>
          <w:szCs w:val="32"/>
        </w:rPr>
        <w:t> </w:t>
      </w:r>
      <w:r>
        <w:rPr>
          <w:rFonts w:hint="eastAsia" w:ascii="仿宋" w:hAnsi="仿宋" w:eastAsia="仿宋"/>
          <w:color w:val="333333"/>
          <w:sz w:val="32"/>
          <w:szCs w:val="32"/>
        </w:rPr>
        <w:t>未经批准开展药物临床试验的，按照《药品管理法》第一百二十五条处理；开展生物等效性试验未备案的，按照《药品管理法》第一百二十七条处理。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第一百一十五条</w:t>
      </w:r>
      <w:r>
        <w:rPr>
          <w:rFonts w:hint="eastAsia"/>
          <w:color w:val="333333"/>
          <w:sz w:val="32"/>
          <w:szCs w:val="32"/>
        </w:rPr>
        <w:t> </w:t>
      </w:r>
      <w:r>
        <w:rPr>
          <w:rFonts w:hint="eastAsia" w:ascii="仿宋" w:hAnsi="仿宋" w:eastAsia="仿宋"/>
          <w:color w:val="333333"/>
          <w:sz w:val="32"/>
          <w:szCs w:val="32"/>
        </w:rPr>
        <w:t>药物临床试验期间，发现存在安全性问题或者其他风险，临床试验申办者未及时调整临床试验方案、暂停或者终止临床试验，或者未向国家药品监督管理局报告的，按照《药品管理法》第一百二十七条处理。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第一百一十六条</w:t>
      </w:r>
      <w:r>
        <w:rPr>
          <w:rFonts w:hint="eastAsia"/>
          <w:color w:val="333333"/>
          <w:sz w:val="32"/>
          <w:szCs w:val="32"/>
        </w:rPr>
        <w:t> </w:t>
      </w:r>
      <w:r>
        <w:rPr>
          <w:rFonts w:hint="eastAsia" w:ascii="仿宋" w:hAnsi="仿宋" w:eastAsia="仿宋"/>
          <w:color w:val="333333"/>
          <w:sz w:val="32"/>
          <w:szCs w:val="32"/>
        </w:rPr>
        <w:t>违反本办法第二十八条、第三十三条规定，申办者有下列情形之一的，责令限期改正；逾期不改正的，处一万元以上三万元以下罚款：</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（一）开展药物临床试验前未按规定在药物临床试验登记与信息公示平台进行登记；</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（二）未按规定提交研发期间安全性更新报告；</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（三）药物临床试验结束后未登记临床试验结果等信息。</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第一百一十七条</w:t>
      </w:r>
      <w:r>
        <w:rPr>
          <w:rFonts w:hint="eastAsia"/>
          <w:color w:val="333333"/>
          <w:sz w:val="32"/>
          <w:szCs w:val="32"/>
        </w:rPr>
        <w:t> </w:t>
      </w:r>
      <w:r>
        <w:rPr>
          <w:rFonts w:hint="eastAsia" w:ascii="仿宋" w:hAnsi="仿宋" w:eastAsia="仿宋"/>
          <w:color w:val="333333"/>
          <w:sz w:val="32"/>
          <w:szCs w:val="32"/>
        </w:rPr>
        <w:t>药品检验机构在承担药品注册所需要的检验工作时，出具虚假检验报告的，按照《药品管理法》第一百三十八条处理。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第一百一十八条</w:t>
      </w:r>
      <w:r>
        <w:rPr>
          <w:rFonts w:hint="eastAsia"/>
          <w:color w:val="333333"/>
          <w:sz w:val="32"/>
          <w:szCs w:val="32"/>
        </w:rPr>
        <w:t> </w:t>
      </w:r>
      <w:r>
        <w:rPr>
          <w:rFonts w:hint="eastAsia" w:ascii="仿宋" w:hAnsi="仿宋" w:eastAsia="仿宋"/>
          <w:color w:val="333333"/>
          <w:sz w:val="32"/>
          <w:szCs w:val="32"/>
        </w:rPr>
        <w:t>对不符合条件而批准进行药物临床试验、不符合条件的药品颁发药品注册证书的，按照《药品管理法》第一百四十七条处理。</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第一百一十九条</w:t>
      </w:r>
      <w:r>
        <w:rPr>
          <w:rFonts w:hint="eastAsia"/>
          <w:color w:val="333333"/>
          <w:sz w:val="32"/>
          <w:szCs w:val="32"/>
        </w:rPr>
        <w:t> </w:t>
      </w:r>
      <w:r>
        <w:rPr>
          <w:rFonts w:hint="eastAsia" w:ascii="仿宋" w:hAnsi="仿宋" w:eastAsia="仿宋"/>
          <w:color w:val="333333"/>
          <w:sz w:val="32"/>
          <w:szCs w:val="32"/>
        </w:rPr>
        <w:t>药品监督管理部门及其工作人员在药品注册管理过程中有违法违规行为的，按照相关法律法规处理。</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第十章 附 则</w:t>
      </w:r>
    </w:p>
    <w:p>
      <w:pPr>
        <w:pStyle w:val="6"/>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第一百二十条</w:t>
      </w:r>
      <w:r>
        <w:rPr>
          <w:rFonts w:hint="eastAsia"/>
          <w:color w:val="333333"/>
          <w:sz w:val="32"/>
          <w:szCs w:val="32"/>
        </w:rPr>
        <w:t> </w:t>
      </w:r>
      <w:r>
        <w:rPr>
          <w:rFonts w:hint="eastAsia" w:ascii="仿宋" w:hAnsi="仿宋" w:eastAsia="仿宋"/>
          <w:color w:val="333333"/>
          <w:sz w:val="32"/>
          <w:szCs w:val="32"/>
        </w:rPr>
        <w:t>麻醉药品、精神药品、医疗用毒性药品、放射性药品、药品类易制毒化学品等有其他特殊管理规定药品的注册申请，除按照本办法的规定办理外，还应当符合国家的其他有关规定。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第一百二十一条</w:t>
      </w:r>
      <w:r>
        <w:rPr>
          <w:rFonts w:hint="eastAsia"/>
          <w:color w:val="333333"/>
          <w:sz w:val="32"/>
          <w:szCs w:val="32"/>
        </w:rPr>
        <w:t> </w:t>
      </w:r>
      <w:r>
        <w:rPr>
          <w:rFonts w:hint="eastAsia" w:ascii="仿宋" w:hAnsi="仿宋" w:eastAsia="仿宋"/>
          <w:color w:val="333333"/>
          <w:sz w:val="32"/>
          <w:szCs w:val="32"/>
        </w:rPr>
        <w:t>出口疫苗的标准应当符合进口国（地区）的标准或者合同要求。</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第一百二十二条</w:t>
      </w:r>
      <w:r>
        <w:rPr>
          <w:rFonts w:hint="eastAsia"/>
          <w:color w:val="333333"/>
          <w:sz w:val="32"/>
          <w:szCs w:val="32"/>
        </w:rPr>
        <w:t> </w:t>
      </w:r>
      <w:r>
        <w:rPr>
          <w:rFonts w:hint="eastAsia" w:ascii="仿宋" w:hAnsi="仿宋" w:eastAsia="仿宋"/>
          <w:color w:val="333333"/>
          <w:sz w:val="32"/>
          <w:szCs w:val="32"/>
        </w:rPr>
        <w:t>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第一百二十三条</w:t>
      </w:r>
      <w:r>
        <w:rPr>
          <w:rFonts w:hint="eastAsia"/>
          <w:color w:val="333333"/>
          <w:sz w:val="32"/>
          <w:szCs w:val="32"/>
        </w:rPr>
        <w:t> </w:t>
      </w:r>
      <w:r>
        <w:rPr>
          <w:rFonts w:hint="eastAsia" w:ascii="仿宋" w:hAnsi="仿宋" w:eastAsia="仿宋"/>
          <w:color w:val="333333"/>
          <w:sz w:val="32"/>
          <w:szCs w:val="32"/>
        </w:rPr>
        <w:t>境内生产药品批准文号格式为：国药准字H（Z、S）＋四位年号＋四位顺序号。中国香港、澳门和台湾地区生产药品批准文号格式为：国药准字H（Z、S）C＋四位年号＋四位顺序号。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境外生产药品批准文号格式为：国药准字H（Z、S）J＋四位年号＋四位顺序号。</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其中，H代表化学药，Z代表中药，S代表生物制品。</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药品批准文号，不因上市后的注册事项的变更而改变。</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中药另有规定的从其规定。</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第一百二十四条</w:t>
      </w:r>
      <w:r>
        <w:rPr>
          <w:rFonts w:hint="eastAsia"/>
          <w:color w:val="333333"/>
          <w:sz w:val="32"/>
          <w:szCs w:val="32"/>
        </w:rPr>
        <w:t> </w:t>
      </w:r>
      <w:r>
        <w:rPr>
          <w:rFonts w:hint="eastAsia" w:ascii="仿宋" w:hAnsi="仿宋" w:eastAsia="仿宋"/>
          <w:color w:val="333333"/>
          <w:sz w:val="32"/>
          <w:szCs w:val="32"/>
        </w:rPr>
        <w:t>药品监督管理部门制作的药品注册批准证明电子文件及原料药批准文件电子文件与纸质文件具有同等法律效力。</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第一百二十五条</w:t>
      </w:r>
      <w:r>
        <w:rPr>
          <w:rFonts w:hint="eastAsia"/>
          <w:color w:val="333333"/>
          <w:sz w:val="32"/>
          <w:szCs w:val="32"/>
        </w:rPr>
        <w:t> </w:t>
      </w:r>
      <w:r>
        <w:rPr>
          <w:rFonts w:hint="eastAsia" w:ascii="仿宋" w:hAnsi="仿宋" w:eastAsia="仿宋"/>
          <w:color w:val="333333"/>
          <w:sz w:val="32"/>
          <w:szCs w:val="32"/>
        </w:rPr>
        <w:t>本办法规定的期限以工作日计算。</w:t>
      </w:r>
    </w:p>
    <w:p>
      <w:pPr>
        <w:pStyle w:val="6"/>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黑体" w:hAnsi="黑体" w:eastAsia="黑体"/>
          <w:color w:val="333333"/>
          <w:sz w:val="32"/>
          <w:szCs w:val="32"/>
        </w:rPr>
        <w:t>　　第一百二十六条</w:t>
      </w:r>
      <w:r>
        <w:rPr>
          <w:rFonts w:hint="eastAsia"/>
          <w:color w:val="333333"/>
          <w:sz w:val="32"/>
          <w:szCs w:val="32"/>
        </w:rPr>
        <w:t> </w:t>
      </w:r>
      <w:r>
        <w:rPr>
          <w:rFonts w:hint="eastAsia" w:ascii="仿宋" w:hAnsi="仿宋" w:eastAsia="仿宋"/>
          <w:color w:val="333333"/>
          <w:sz w:val="32"/>
          <w:szCs w:val="32"/>
        </w:rPr>
        <w:t>本办法自2020年7月1日起施行。2007年7月10日原国家食品药品监督管理局令第28号公布的《药品注册管理办法》同时废止。</w:t>
      </w:r>
    </w:p>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5"/>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5"/>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5"/>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2079C"/>
    <w:rsid w:val="00637CAC"/>
    <w:rsid w:val="006A7A45"/>
    <w:rsid w:val="006F3781"/>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CC34A78"/>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uiPriority w:val="0"/>
    <w:rPr>
      <w:color w:val="2B84B5"/>
    </w:rPr>
  </w:style>
  <w:style w:type="character" w:styleId="11">
    <w:name w:val="Hyperlink"/>
    <w:basedOn w:val="8"/>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 w:type="character" w:customStyle="1" w:styleId="14">
    <w:name w:val="noline"/>
    <w:basedOn w:val="8"/>
    <w:uiPriority w:val="0"/>
  </w:style>
  <w:style w:type="character" w:customStyle="1" w:styleId="15">
    <w:name w:val="hover54"/>
    <w:basedOn w:val="8"/>
    <w:uiPriority w:val="0"/>
    <w:rPr>
      <w:color w:val="025291"/>
    </w:rPr>
  </w:style>
  <w:style w:type="character" w:customStyle="1" w:styleId="16">
    <w:name w:val="hover55"/>
    <w:basedOn w:val="8"/>
    <w:uiPriority w:val="0"/>
    <w:rPr>
      <w:color w:val="2B84B5"/>
    </w:rPr>
  </w:style>
  <w:style w:type="character" w:customStyle="1" w:styleId="17">
    <w:name w:val="hover56"/>
    <w:basedOn w:val="8"/>
    <w:uiPriority w:val="0"/>
    <w:rPr>
      <w:color w:val="D52222"/>
    </w:rPr>
  </w:style>
  <w:style w:type="character" w:customStyle="1" w:styleId="18">
    <w:name w:val="place"/>
    <w:basedOn w:val="8"/>
    <w:uiPriority w:val="0"/>
  </w:style>
  <w:style w:type="character" w:customStyle="1" w:styleId="19">
    <w:name w:val="place1"/>
    <w:basedOn w:val="8"/>
    <w:uiPriority w:val="0"/>
    <w:rPr>
      <w:rFonts w:ascii="微软雅黑" w:hAnsi="微软雅黑" w:eastAsia="微软雅黑" w:cs="微软雅黑"/>
      <w:color w:val="888888"/>
      <w:sz w:val="25"/>
      <w:szCs w:val="25"/>
    </w:rPr>
  </w:style>
  <w:style w:type="character" w:customStyle="1" w:styleId="20">
    <w:name w:val="place2"/>
    <w:basedOn w:val="8"/>
    <w:uiPriority w:val="0"/>
  </w:style>
  <w:style w:type="character" w:customStyle="1" w:styleId="21">
    <w:name w:val="place3"/>
    <w:basedOn w:val="8"/>
    <w:uiPriority w:val="0"/>
  </w:style>
  <w:style w:type="character" w:customStyle="1" w:styleId="22">
    <w:name w:val="file"/>
    <w:basedOn w:val="8"/>
    <w:uiPriority w:val="0"/>
    <w:rPr>
      <w:color w:val="4D4D4D"/>
      <w:sz w:val="21"/>
      <w:szCs w:val="21"/>
    </w:rPr>
  </w:style>
  <w:style w:type="character" w:customStyle="1" w:styleId="23">
    <w:name w:val="folder"/>
    <w:basedOn w:val="8"/>
    <w:qFormat/>
    <w:uiPriority w:val="0"/>
  </w:style>
  <w:style w:type="character" w:customStyle="1" w:styleId="24">
    <w:name w:val="folder1"/>
    <w:basedOn w:val="8"/>
    <w:qFormat/>
    <w:uiPriority w:val="0"/>
    <w:rPr>
      <w:color w:val="4D4D4D"/>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47</Pages>
  <Words>2902</Words>
  <Characters>16546</Characters>
  <Lines>137</Lines>
  <Paragraphs>38</Paragraphs>
  <TotalTime>78</TotalTime>
  <ScaleCrop>false</ScaleCrop>
  <LinksUpToDate>false</LinksUpToDate>
  <CharactersWithSpaces>19410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夏新凤</cp:lastModifiedBy>
  <cp:lastPrinted>2021-10-26T03:30:00Z</cp:lastPrinted>
  <dcterms:modified xsi:type="dcterms:W3CDTF">2023-08-10T01:18:51Z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8C2B248826784A9EBDB900B4B34357EB_13</vt:lpwstr>
  </property>
</Properties>
</file>